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header+xml" PartName="/word/header.xml"/>
  <Override ContentType="image/png" PartName="/word/media/document_image_rId10.png"/>
  <Override ContentType="image/png" PartName="/word/media/document_image_rId37.png"/>
  <Override ContentType="image/png" PartName="/word/media/document_image_rId38.png"/>
  <Override ContentType="image/png" PartName="/word/media/document_image_rId39.png"/>
  <Override ContentType="image/png" PartName="/word/media/document_image_rId40.png"/>
  <Override ContentType="image/png" PartName="/word/media/document_image_rId41.png"/>
  <Override ContentType="image/png" PartName="/word/media/document_image_rId42.png"/>
  <Override ContentType="image/png" PartName="/word/media/document_image_rId43.png"/>
  <Override ContentType="image/png" PartName="/word/media/document_image_rId44.png"/>
  <Override ContentType="image/png" PartName="/word/media/document_image_rId45.png"/>
  <Override ContentType="image/png" PartName="/word/media/document_image_rId46.png"/>
  <Override ContentType="image/png" PartName="/word/media/document_image_rId47.png"/>
  <Override ContentType="image/png" PartName="/word/media/document_image_rId48.png"/>
  <Override ContentType="image/png" PartName="/word/media/document_image_rId49.png"/>
  <Override ContentType="image/png" PartName="/word/media/document_image_rId50.png"/>
  <Override ContentType="image/png" PartName="/word/media/document_image_rId51.png"/>
  <Override ContentType="image/png" PartName="/word/media/document_image_rId9.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Target="docProps/app.xml" Type="http://schemas.openxmlformats.org/officeDocument/2006/relationships/extended-properties" Id="rId3"/><Relationship Target="docProps/core.xml" Type="http://schemas.openxmlformats.org/package/2006/relationships/metadata/core-properties" Id="rId2"/><Relationship Target="word/document.xml" Type="http://schemas.openxmlformats.org/officeDocument/2006/relationships/officeDocument" Id="rId1"/><Relationship Target="docProps/custom.xml" Type="http://schemas.openxmlformats.org/officeDocument/2006/relationships/custom-properties" Id="rId4"/></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xmlns:w16se="http://schemas.microsoft.com/office/word/2015/wordml/symex" mc:Ignorable="w14 w15 w16se wp14">
  <w:body>
    <w:p>
      <w:pPr>
        <w:spacing/>
        <w:ind/>
        <w:jc w:val="left"/>
        <w:rPr>
          <w:rFonts w:ascii="微软雅黑" w:hAnsi="微软雅黑" w:eastAsia="微软雅黑"/>
          <w:sz w:val="21"/>
          <w:szCs w:val="21"/>
        </w:rPr>
      </w:pPr>
      <w:r>
        <w:rPr>
          <w:rFonts w:ascii="微软雅黑" w:hAnsi="微软雅黑" w:eastAsia="微软雅黑"/>
          <w:sz w:val="21"/>
          <w:szCs w:val="21"/>
        </w:rPr>
      </w:r>
    </w:p>
    <w:p>
      <w:pPr>
        <w:spacing/>
        <w:ind/>
        <w:jc w:val="both"/>
        <w:rPr>
          <w:rFonts w:ascii="黑体" w:hAnsi="黑体" w:eastAsia="黑体"/>
          <w:sz w:val="32"/>
          <w:szCs w:val="32"/>
        </w:rPr>
      </w:pPr>
      <w:r>
        <w:rPr>
          <w:rFonts w:ascii="黑体" w:hAnsi="黑体" w:eastAsia="黑体"/>
          <w:sz w:val="32"/>
          <w:szCs w:val="32"/>
        </w:rPr>
        <w:t>青岛鼎信通讯股份有限公司</w:t>
      </w:r>
    </w:p>
    <w:p>
      <w:pPr>
        <w:spacing/>
        <w:ind/>
        <w:jc w:val="left"/>
        <w:rPr>
          <w:rFonts w:ascii="Times New Roman" w:hAnsi="Times New Roman" w:eastAsia="Times New Roman"/>
          <w:sz w:val="21"/>
          <w:szCs w:val="21"/>
        </w:rPr>
      </w:pPr>
      <w:r>
        <w:rPr>
          <w:rFonts w:ascii="微软雅黑" w:hAnsi="微软雅黑" w:eastAsia="微软雅黑"/>
          <w:sz w:val="21"/>
          <w:szCs w:val="21"/>
        </w:rPr>
        <w:drawing>
          <wp:inline distT="0" distB="0" distL="0" distR="0">
            <wp:extent cx="5274310" cy="2854432"/>
            <wp:effectExtent l="0" t="0" r="0" b="0"/>
            <wp:docPr id="1"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274310" cy="2854432"/>
                    </a:xfrm>
                    <a:prstGeom prst="rect">
                      <a:avLst/>
                    </a:prstGeom>
                  </pic:spPr>
                </pic:pic>
              </a:graphicData>
            </a:graphic>
          </wp:inline>
        </w:drawing>
      </w:r>
      <w:r>
        <w:rPr>
          <w:rFonts w:ascii="微软雅黑" w:hAnsi="微软雅黑" w:eastAsia="微软雅黑"/>
          <w:sz w:val="21"/>
          <w:szCs w:val="21"/>
        </w:rPr>
        <w:drawing>
          <wp:inline distT="0" distB="0" distL="0" distR="0">
            <wp:extent cx="504825" cy="352425"/>
            <wp:effectExtent l="0" t="0" r="0" b="0"/>
            <wp:docPr id="2" name="" descr=""/>
            <wp:cNvGraphicFramePr>
              <a:graphicFrameLocks noChangeAspect="true"/>
            </wp:cNvGraphicFramePr>
            <a:graphic>
              <a:graphicData uri="http://schemas.openxmlformats.org/drawingml/2006/picture">
                <pic:pic>
                  <pic:nvPicPr>
                    <pic:cNvPr id="2" name=""/>
                    <pic:cNvPicPr/>
                  </pic:nvPicPr>
                  <pic:blipFill>
                    <a:blip r:embed="rId10"/>
                    <a:stretch>
                      <a:fillRect/>
                    </a:stretch>
                  </pic:blipFill>
                  <pic:spPr>
                    <a:xfrm>
                      <a:off x="0" y="0"/>
                      <a:ext cx="504825" cy="352425"/>
                    </a:xfrm>
                    <a:prstGeom prst="rect">
                      <a:avLst/>
                    </a:prstGeom>
                  </pic:spPr>
                </pic:pic>
              </a:graphicData>
            </a:graphic>
          </wp:inline>
        </w:drawing>
      </w:r>
    </w:p>
    <w:p>
      <w:pPr>
        <w:spacing/>
        <w:ind/>
        <w:jc w:val="left"/>
        <w:rPr>
          <w:rFonts w:ascii="微软雅黑" w:hAnsi="微软雅黑" w:eastAsia="微软雅黑"/>
          <w:sz w:val="21"/>
          <w:szCs w:val="21"/>
        </w:rPr>
      </w:pPr>
      <w:r>
        <w:rPr>
          <w:rFonts w:ascii="Times New Roman" w:hAnsi="Times New Roman" w:eastAsia="Times New Roman"/>
          <w:sz w:val="21"/>
          <w:szCs w:val="21"/>
        </w:rPr>
        <w:t>DTZY</w:t>
      </w:r>
    </w:p>
    <w:p>
      <w:pPr>
        <w:spacing/>
        <w:ind/>
        <w:jc w:val="left"/>
        <w:rPr>
          <w:rFonts w:ascii="微软雅黑" w:hAnsi="微软雅黑" w:eastAsia="微软雅黑"/>
          <w:sz w:val="21"/>
          <w:szCs w:val="21"/>
        </w:rPr>
      </w:pPr>
      <w:r>
        <w:rPr>
          <w:rFonts w:ascii="Times New Roman" w:hAnsi="Times New Roman" w:eastAsia="Times New Roman"/>
          <w:sz w:val="21"/>
          <w:szCs w:val="21"/>
        </w:rPr>
        <w:t>1710</w:t>
      </w:r>
    </w:p>
    <w:p>
      <w:pPr>
        <w:spacing/>
        <w:ind/>
        <w:jc w:val="left"/>
        <w:rPr>
          <w:rFonts w:ascii="微软雅黑" w:hAnsi="微软雅黑" w:eastAsia="微软雅黑"/>
          <w:sz w:val="21"/>
          <w:szCs w:val="21"/>
        </w:rPr>
      </w:pPr>
      <w:r>
        <w:rPr>
          <w:rFonts w:ascii="Times New Roman" w:hAnsi="Times New Roman" w:eastAsia="Times New Roman"/>
          <w:sz w:val="21"/>
          <w:szCs w:val="21"/>
        </w:rPr>
        <w:t>C-</w:t>
      </w:r>
    </w:p>
    <w:p>
      <w:pPr>
        <w:spacing/>
        <w:ind/>
        <w:jc w:val="left"/>
        <w:rPr>
          <w:rFonts w:ascii="Times New Roman" w:hAnsi="Times New Roman" w:eastAsia="Times New Roman"/>
          <w:sz w:val="21"/>
          <w:szCs w:val="21"/>
        </w:rPr>
      </w:pPr>
      <w:r>
        <w:rPr>
          <w:rFonts w:ascii="Times New Roman" w:hAnsi="Times New Roman" w:eastAsia="Times New Roman"/>
          <w:sz w:val="21"/>
          <w:szCs w:val="21"/>
        </w:rPr>
        <w:t>G</w:t>
      </w:r>
    </w:p>
    <w:p>
      <w:pPr>
        <w:spacing/>
        <w:ind/>
        <w:jc w:val="left"/>
        <w:rPr>
          <w:rFonts w:ascii="Times New Roman" w:hAnsi="Times New Roman" w:eastAsia="Times New Roman"/>
          <w:sz w:val="21"/>
          <w:szCs w:val="21"/>
        </w:rPr>
      </w:pPr>
      <w:r>
        <w:rPr>
          <w:rFonts w:ascii="宋体" w:hAnsi="宋体" w:eastAsia="宋体"/>
          <w:sz w:val="21"/>
          <w:szCs w:val="21"/>
        </w:rPr>
        <w:t>型</w:t>
      </w:r>
    </w:p>
    <w:p>
      <w:pPr>
        <w:spacing/>
        <w:ind/>
        <w:jc w:val="left"/>
        <w:rPr>
          <w:rFonts w:ascii="Times New Roman" w:hAnsi="Times New Roman" w:eastAsia="Times New Roman"/>
          <w:sz w:val="21"/>
          <w:szCs w:val="21"/>
        </w:rPr>
      </w:pPr>
      <w:r>
        <w:rPr>
          <w:rFonts w:ascii="宋体" w:hAnsi="宋体" w:eastAsia="宋体"/>
          <w:sz w:val="21"/>
          <w:szCs w:val="21"/>
        </w:rPr>
        <w:t>三相四线</w:t>
      </w:r>
    </w:p>
    <w:p>
      <w:pPr>
        <w:spacing/>
        <w:ind/>
        <w:jc w:val="left"/>
        <w:rPr>
          <w:rFonts w:ascii="Times New Roman" w:hAnsi="Times New Roman" w:eastAsia="Times New Roman"/>
          <w:sz w:val="21"/>
          <w:szCs w:val="21"/>
        </w:rPr>
      </w:pPr>
      <w:r>
        <w:rPr>
          <w:rFonts w:ascii="宋体" w:hAnsi="宋体" w:eastAsia="宋体"/>
          <w:sz w:val="21"/>
          <w:szCs w:val="21"/>
        </w:rPr>
        <w:t>费控智能</w:t>
      </w:r>
    </w:p>
    <w:p>
      <w:pPr>
        <w:spacing/>
        <w:ind/>
        <w:jc w:val="left"/>
        <w:rPr>
          <w:rFonts w:ascii="Times New Roman" w:hAnsi="Times New Roman" w:eastAsia="Times New Roman"/>
          <w:sz w:val="21"/>
          <w:szCs w:val="21"/>
        </w:rPr>
      </w:pPr>
      <w:r>
        <w:rPr>
          <w:rFonts w:ascii="宋体" w:hAnsi="宋体" w:eastAsia="宋体"/>
          <w:sz w:val="21"/>
          <w:szCs w:val="21"/>
        </w:rPr>
        <w:t>电能表</w:t>
      </w:r>
    </w:p>
    <w:p>
      <w:pPr>
        <w:spacing/>
        <w:ind/>
        <w:jc w:val="left"/>
        <w:rPr>
          <w:rFonts w:ascii="Times New Roman" w:hAnsi="Times New Roman" w:eastAsia="Times New Roman"/>
          <w:sz w:val="21"/>
          <w:szCs w:val="21"/>
        </w:rPr>
      </w:pPr>
      <w:r>
        <w:rPr>
          <w:rFonts w:ascii="宋体" w:hAnsi="宋体" w:eastAsia="宋体"/>
          <w:sz w:val="21"/>
          <w:szCs w:val="21"/>
        </w:rPr>
        <w:t>使用说明书</w:t>
      </w:r>
    </w:p>
    <w:p>
      <w:pPr>
        <w:spacing w:after="93"/>
        <w:ind w:firstLine="420"/>
        <w:jc w:val="both"/>
        <w:rPr>
          <w:rFonts w:ascii="宋体" w:hAnsi="宋体" w:eastAsia="宋体"/>
          <w:sz w:val="21"/>
          <w:szCs w:val="21"/>
        </w:rPr>
      </w:pPr>
      <w:r>
        <w:rPr>
          <w:rFonts w:ascii="Times New Roman" w:hAnsi="Times New Roman" w:eastAsia="Times New Roman"/>
          <w:sz w:val="21"/>
          <w:szCs w:val="21"/>
        </w:rPr>
        <w:t xml:space="preserve"> </w:t>
      </w:r>
    </w:p>
    <w:p>
      <w:pPr>
        <w:spacing w:before="312" w:after="120"/>
        <w:ind/>
        <w:jc w:val="both"/>
        <w:rPr>
          <w:rFonts w:ascii="宋体" w:hAnsi="宋体" w:eastAsia="宋体"/>
          <w:sz w:val="21"/>
          <w:szCs w:val="21"/>
        </w:rPr>
      </w:pPr>
      <w:r>
        <w:rPr>
          <w:rFonts w:ascii="黑体" w:hAnsi="黑体" w:eastAsia="黑体"/>
          <w:b w:val="true"/>
          <w:bCs w:val="true"/>
          <w:color w:val="000000"/>
          <w:sz w:val="21"/>
          <w:szCs w:val="21"/>
        </w:rPr>
        <w:t>尊敬的用户：</w:t>
      </w:r>
    </w:p>
    <w:p>
      <w:pPr>
        <w:spacing/>
        <w:ind w:firstLineChars="200"/>
        <w:jc w:val="both"/>
        <w:rPr>
          <w:rFonts w:ascii="宋体" w:hAnsi="宋体" w:eastAsia="宋体"/>
          <w:sz w:val="21"/>
          <w:szCs w:val="21"/>
        </w:rPr>
      </w:pPr>
      <w:r>
        <w:rPr>
          <w:rFonts w:ascii="宋体" w:hAnsi="宋体" w:eastAsia="宋体"/>
          <w:sz w:val="21"/>
          <w:szCs w:val="21"/>
        </w:rPr>
        <w:t>首先衷心感谢您选择青岛鼎信通讯股份有限公司的产品。</w:t>
      </w:r>
    </w:p>
    <w:p>
      <w:pPr>
        <w:spacing/>
        <w:ind w:firstLineChars="200"/>
        <w:jc w:val="both"/>
        <w:rPr>
          <w:rFonts w:ascii="宋体" w:hAnsi="宋体" w:eastAsia="宋体"/>
          <w:sz w:val="21"/>
          <w:szCs w:val="21"/>
        </w:rPr>
      </w:pPr>
      <w:r>
        <w:rPr>
          <w:rFonts w:ascii="宋体" w:hAnsi="宋体" w:eastAsia="宋体"/>
          <w:sz w:val="21"/>
          <w:szCs w:val="21"/>
        </w:rPr>
        <w:t>青岛鼎信通讯股份有限公司结合客户及市场的需求，以科技创新为基础，以产品的稳定性、有效性、实用性为工具，以服务用户为目的进行产品的研发，力求做到产品的免维护，从而更好的服务用户，服务社会。</w:t>
      </w:r>
    </w:p>
    <w:p>
      <w:pPr>
        <w:spacing/>
        <w:ind w:firstLineChars="200"/>
        <w:jc w:val="both"/>
        <w:rPr>
          <w:rFonts w:ascii="宋体" w:hAnsi="宋体" w:eastAsia="宋体"/>
          <w:sz w:val="21"/>
          <w:szCs w:val="21"/>
        </w:rPr>
      </w:pPr>
      <w:r>
        <w:rPr>
          <w:rFonts w:ascii="宋体" w:hAnsi="宋体" w:eastAsia="宋体"/>
          <w:sz w:val="21"/>
          <w:szCs w:val="21"/>
        </w:rPr>
        <w:t>本使用说明书主要向您介绍我公司生产的</w:t>
      </w:r>
      <w:r>
        <w:rPr>
          <w:rFonts w:ascii="Times New Roman" w:hAnsi="Times New Roman" w:eastAsia="Times New Roman"/>
          <w:sz w:val="21"/>
          <w:szCs w:val="21"/>
        </w:rPr>
        <w:t>DTZY1710C-G</w:t>
      </w:r>
      <w:r>
        <w:rPr>
          <w:rFonts w:ascii="宋体" w:hAnsi="宋体" w:eastAsia="宋体"/>
          <w:sz w:val="21"/>
          <w:szCs w:val="21"/>
        </w:rPr>
        <w:t>型三相四线费控智能电能表的性能、功能、安装、接线与调试等内容。在使用终端前，请先仔细阅读本说明书。</w:t>
      </w:r>
    </w:p>
    <w:p>
      <w:pPr>
        <w:spacing/>
        <w:ind w:firstLineChars="200"/>
        <w:jc w:val="both"/>
        <w:rPr>
          <w:rFonts w:ascii="宋体" w:hAnsi="宋体" w:eastAsia="宋体"/>
          <w:sz w:val="21"/>
          <w:szCs w:val="21"/>
        </w:rPr>
      </w:pPr>
      <w:r>
        <w:rPr>
          <w:rFonts w:ascii="宋体" w:hAnsi="宋体" w:eastAsia="宋体"/>
          <w:sz w:val="21"/>
          <w:szCs w:val="21"/>
        </w:rPr>
        <w:t>如果对本说明书有任何疑问，或者在应用中有任何问题和要求，需要相关的技术支持，可以通过下面的方式与我们联系，我们将及时给予回应和解决。</w:t>
      </w:r>
    </w:p>
    <w:p>
      <w:pPr>
        <w:spacing/>
        <w:ind w:firstLineChars="200"/>
        <w:jc w:val="both"/>
        <w:rPr>
          <w:rFonts w:ascii="宋体" w:hAnsi="宋体" w:eastAsia="宋体"/>
          <w:sz w:val="21"/>
          <w:szCs w:val="21"/>
        </w:rPr>
      </w:pPr>
      <w:r>
        <w:rPr>
          <w:rFonts w:ascii="宋体" w:hAnsi="宋体" w:eastAsia="宋体"/>
          <w:sz w:val="21"/>
          <w:szCs w:val="21"/>
        </w:rPr>
        <w:t>本产品符合：</w:t>
      </w:r>
    </w:p>
    <w:p>
      <w:pPr>
        <w:spacing/>
        <w:ind w:firstLineChars="200"/>
        <w:jc w:val="both"/>
        <w:rPr>
          <w:rFonts w:ascii="宋体" w:hAnsi="宋体" w:eastAsia="宋体"/>
          <w:sz w:val="21"/>
          <w:szCs w:val="21"/>
        </w:rPr>
      </w:pPr>
      <w:r>
        <w:rPr>
          <w:rFonts w:ascii="Times New Roman" w:hAnsi="Times New Roman" w:eastAsia="Times New Roman"/>
          <w:sz w:val="21"/>
          <w:szCs w:val="21"/>
        </w:rPr>
        <w:t>GB/T17215.301-2007</w:t>
      </w:r>
      <w:r>
        <w:rPr>
          <w:rFonts w:ascii="宋体" w:hAnsi="宋体" w:eastAsia="宋体"/>
          <w:sz w:val="21"/>
          <w:szCs w:val="21"/>
        </w:rPr>
        <w:t>《多功能电能表特殊要求》</w:t>
      </w:r>
    </w:p>
    <w:p>
      <w:pPr>
        <w:spacing/>
        <w:ind w:firstLineChars="200"/>
        <w:jc w:val="both"/>
        <w:rPr>
          <w:rFonts w:ascii="宋体" w:hAnsi="宋体" w:eastAsia="宋体"/>
          <w:sz w:val="21"/>
          <w:szCs w:val="21"/>
        </w:rPr>
      </w:pPr>
      <w:r>
        <w:rPr>
          <w:rFonts w:ascii="Times New Roman" w:hAnsi="Times New Roman" w:eastAsia="Times New Roman"/>
          <w:sz w:val="21"/>
          <w:szCs w:val="21"/>
        </w:rPr>
        <w:t>DL/T 645-2007</w:t>
      </w:r>
      <w:r>
        <w:rPr>
          <w:rFonts w:ascii="宋体" w:hAnsi="宋体" w:eastAsia="宋体"/>
          <w:sz w:val="21"/>
          <w:szCs w:val="21"/>
        </w:rPr>
        <w:t>《多功能电能表通信规约》</w:t>
      </w:r>
    </w:p>
    <w:p>
      <w:pPr>
        <w:spacing/>
        <w:ind w:firstLineChars="200"/>
        <w:jc w:val="both"/>
        <w:rPr>
          <w:rFonts w:ascii="宋体" w:hAnsi="宋体" w:eastAsia="宋体"/>
          <w:sz w:val="21"/>
          <w:szCs w:val="21"/>
        </w:rPr>
      </w:pPr>
      <w:r>
        <w:rPr>
          <w:rFonts w:ascii="Times New Roman" w:hAnsi="Times New Roman" w:eastAsia="Times New Roman"/>
          <w:sz w:val="21"/>
          <w:szCs w:val="21"/>
        </w:rPr>
        <w:t>GB/T18460.3-2001</w:t>
      </w:r>
      <w:r>
        <w:rPr>
          <w:rFonts w:ascii="宋体" w:hAnsi="宋体" w:eastAsia="宋体"/>
          <w:sz w:val="21"/>
          <w:szCs w:val="21"/>
        </w:rPr>
        <w:t>《</w:t>
      </w:r>
      <w:r>
        <w:rPr>
          <w:rFonts w:ascii="Times New Roman" w:hAnsi="Times New Roman" w:eastAsia="Times New Roman"/>
          <w:sz w:val="21"/>
          <w:szCs w:val="21"/>
        </w:rPr>
        <w:t>IC</w:t>
      </w:r>
      <w:r>
        <w:rPr>
          <w:rFonts w:ascii="宋体" w:hAnsi="宋体" w:eastAsia="宋体"/>
          <w:sz w:val="21"/>
          <w:szCs w:val="21"/>
        </w:rPr>
        <w:t>卡预付费售电系统》</w:t>
      </w:r>
    </w:p>
    <w:p>
      <w:pPr>
        <w:spacing/>
        <w:ind w:firstLineChars="200"/>
        <w:jc w:val="both"/>
        <w:rPr>
          <w:rFonts w:ascii="宋体" w:hAnsi="宋体" w:eastAsia="宋体"/>
          <w:sz w:val="21"/>
          <w:szCs w:val="21"/>
        </w:rPr>
      </w:pPr>
      <w:r>
        <w:rPr>
          <w:rFonts w:ascii="Times New Roman" w:hAnsi="Times New Roman" w:eastAsia="Times New Roman"/>
          <w:sz w:val="21"/>
          <w:szCs w:val="21"/>
        </w:rPr>
      </w:r>
      <w:hyperlink r:id="rId11">
        <w:r>
          <w:rPr>
            <w:rFonts w:ascii="Times New Roman" w:hAnsi="Times New Roman" w:eastAsia="Times New Roman"/>
            <w:sz w:val="21"/>
            <w:szCs w:val="21"/>
          </w:rPr>
        </w:r>
      </w:hyperlink>
      <w:hyperlink r:id="rId12">
        <w:r>
          <w:rPr>
            <w:rFonts w:ascii="Times New Roman" w:hAnsi="Times New Roman" w:eastAsia="Times New Roman"/>
            <w:sz w:val="21"/>
            <w:szCs w:val="21"/>
          </w:rPr>
          <w:t>Q/GDW 1827-2013</w:t>
        </w:r>
      </w:hyperlink>
      <w:r>
        <w:rPr>
          <w:rFonts w:ascii="Times New Roman" w:hAnsi="Times New Roman" w:eastAsia="Times New Roman"/>
          <w:sz w:val="21"/>
          <w:szCs w:val="21"/>
        </w:rPr>
      </w:r>
      <w:r>
        <w:rPr>
          <w:rFonts w:ascii="宋体" w:hAnsi="宋体" w:eastAsia="宋体"/>
          <w:sz w:val="21"/>
          <w:szCs w:val="21"/>
        </w:rPr>
        <w:t>《三相智能电能表技术规范》</w:t>
      </w:r>
    </w:p>
    <w:p>
      <w:pPr>
        <w:spacing/>
        <w:ind w:firstLineChars="200"/>
        <w:jc w:val="both"/>
        <w:rPr>
          <w:rFonts w:ascii="宋体" w:hAnsi="宋体" w:eastAsia="宋体"/>
          <w:sz w:val="21"/>
          <w:szCs w:val="21"/>
        </w:rPr>
      </w:pPr>
      <w:r>
        <w:rPr>
          <w:rFonts w:ascii="Times New Roman" w:hAnsi="Times New Roman" w:eastAsia="Times New Roman"/>
          <w:sz w:val="21"/>
          <w:szCs w:val="21"/>
        </w:rPr>
        <w:t>Q/GDW 1356-2013</w:t>
      </w:r>
      <w:r>
        <w:rPr>
          <w:rFonts w:ascii="宋体" w:hAnsi="宋体" w:eastAsia="宋体"/>
          <w:sz w:val="21"/>
          <w:szCs w:val="21"/>
        </w:rPr>
        <w:t>《三相智能电能表形式规范》</w:t>
      </w:r>
    </w:p>
    <w:p>
      <w:pPr>
        <w:spacing/>
        <w:ind w:firstLineChars="200"/>
        <w:jc w:val="both"/>
        <w:rPr>
          <w:rFonts w:ascii="宋体" w:hAnsi="宋体" w:eastAsia="宋体"/>
          <w:sz w:val="21"/>
          <w:szCs w:val="21"/>
        </w:rPr>
      </w:pPr>
      <w:r>
        <w:rPr>
          <w:rFonts w:ascii="Times New Roman" w:hAnsi="Times New Roman" w:eastAsia="Times New Roman"/>
          <w:sz w:val="21"/>
          <w:szCs w:val="21"/>
        </w:rPr>
        <w:t>JJG691-2014</w:t>
      </w:r>
      <w:r>
        <w:rPr>
          <w:rFonts w:ascii="宋体" w:hAnsi="宋体" w:eastAsia="宋体"/>
          <w:sz w:val="21"/>
          <w:szCs w:val="21"/>
        </w:rPr>
        <w:t>《多费率交流电能表》</w:t>
      </w:r>
    </w:p>
    <w:p>
      <w:pPr>
        <w:spacing/>
        <w:ind w:firstLineChars="200"/>
        <w:jc w:val="both"/>
        <w:rPr>
          <w:rFonts w:ascii="宋体" w:hAnsi="宋体" w:eastAsia="宋体"/>
          <w:sz w:val="21"/>
          <w:szCs w:val="21"/>
        </w:rPr>
      </w:pPr>
      <w:r>
        <w:rPr>
          <w:rFonts w:ascii="Times New Roman" w:hAnsi="Times New Roman" w:eastAsia="Times New Roman"/>
          <w:sz w:val="21"/>
          <w:szCs w:val="21"/>
        </w:rPr>
        <w:t>JJG569-2014</w:t>
      </w:r>
      <w:r>
        <w:rPr>
          <w:rFonts w:ascii="宋体" w:hAnsi="宋体" w:eastAsia="宋体"/>
          <w:sz w:val="21"/>
          <w:szCs w:val="21"/>
        </w:rPr>
        <w:t>《最大需量电能表》</w:t>
      </w:r>
    </w:p>
    <w:p>
      <w:pPr>
        <w:spacing/>
        <w:ind w:firstLineChars="200"/>
        <w:jc w:val="both"/>
        <w:rPr>
          <w:rFonts w:ascii="宋体" w:hAnsi="宋体" w:eastAsia="宋体"/>
          <w:sz w:val="21"/>
          <w:szCs w:val="21"/>
        </w:rPr>
      </w:pPr>
      <w:r>
        <w:rPr>
          <w:rFonts w:ascii="Times New Roman" w:hAnsi="Times New Roman" w:eastAsia="Times New Roman"/>
          <w:sz w:val="21"/>
          <w:szCs w:val="21"/>
        </w:rPr>
        <w:t>JJG1099-2014</w:t>
      </w:r>
      <w:r>
        <w:rPr>
          <w:rFonts w:ascii="宋体" w:hAnsi="宋体" w:eastAsia="宋体"/>
          <w:sz w:val="21"/>
          <w:szCs w:val="21"/>
        </w:rPr>
        <w:t>《预付费交流电能表》</w:t>
      </w:r>
    </w:p>
    <w:p>
      <w:pPr>
        <w:spacing/>
        <w:ind/>
        <w:jc w:val="left"/>
        <w:rPr>
          <w:rFonts w:ascii="微软雅黑" w:hAnsi="微软雅黑" w:eastAsia="微软雅黑"/>
          <w:sz w:val="21"/>
          <w:szCs w:val="21"/>
        </w:rPr>
      </w:pPr>
      <w:r>
        <w:rPr>
          <w:rFonts w:ascii="微软雅黑" w:hAnsi="微软雅黑" w:eastAsia="微软雅黑"/>
          <w:sz w:val="21"/>
          <w:szCs w:val="21"/>
        </w:rPr>
      </w:r>
    </w:p>
    <w:p>
      <w:pPr>
        <w:spacing/>
        <w:ind/>
        <w:jc w:val="left"/>
        <w:rPr>
          <w:rFonts w:ascii="微软雅黑" w:hAnsi="微软雅黑" w:eastAsia="微软雅黑"/>
          <w:sz w:val="21"/>
          <w:szCs w:val="21"/>
        </w:rPr>
      </w:pPr>
      <w:r>
        <w:rPr>
          <w:rFonts w:ascii="微软雅黑" w:hAnsi="微软雅黑" w:eastAsia="微软雅黑"/>
          <w:sz w:val="21"/>
          <w:szCs w:val="21"/>
        </w:rPr>
      </w:r>
    </w:p>
    <w:p>
      <w:pPr>
        <w:spacing/>
        <w:ind/>
        <w:jc w:val="both"/>
        <w:rPr>
          <w:rFonts w:ascii="宋体" w:hAnsi="宋体" w:eastAsia="宋体"/>
          <w:sz w:val="21"/>
          <w:szCs w:val="21"/>
        </w:rPr>
      </w:pPr>
      <w:r>
        <w:rPr>
          <w:rFonts w:ascii="宋体" w:hAnsi="宋体" w:eastAsia="宋体"/>
          <w:sz w:val="21"/>
          <w:szCs w:val="21"/>
        </w:rPr>
      </w:r>
    </w:p>
    <w:p>
      <w:pPr>
        <w:spacing/>
        <w:ind/>
        <w:jc w:val="both"/>
        <w:rPr>
          <w:rFonts w:ascii="宋体" w:hAnsi="宋体" w:eastAsia="宋体"/>
          <w:sz w:val="21"/>
          <w:szCs w:val="21"/>
        </w:rPr>
      </w:pPr>
      <w:r>
        <w:rPr>
          <w:rFonts w:ascii="宋体" w:hAnsi="宋体" w:eastAsia="宋体"/>
          <w:sz w:val="21"/>
          <w:szCs w:val="21"/>
        </w:rPr>
      </w:r>
    </w:p>
    <w:p>
      <w:pPr>
        <w:spacing/>
        <w:ind/>
        <w:jc w:val="both"/>
        <w:rPr>
          <w:rFonts w:ascii="宋体" w:hAnsi="宋体" w:eastAsia="宋体"/>
          <w:sz w:val="21"/>
          <w:szCs w:val="21"/>
        </w:rPr>
      </w:pPr>
      <w:r>
        <w:rPr>
          <w:rFonts w:ascii="宋体" w:hAnsi="宋体" w:eastAsia="宋体"/>
          <w:sz w:val="21"/>
          <w:szCs w:val="21"/>
        </w:rPr>
      </w:r>
    </w:p>
    <w:p>
      <w:pPr>
        <w:spacing/>
        <w:ind/>
        <w:jc w:val="both"/>
        <w:rPr>
          <w:rFonts w:ascii="宋体" w:hAnsi="宋体" w:eastAsia="宋体"/>
          <w:sz w:val="21"/>
          <w:szCs w:val="21"/>
        </w:rPr>
      </w:pPr>
      <w:r>
        <w:rPr>
          <w:rFonts w:ascii="宋体" w:hAnsi="宋体" w:eastAsia="宋体"/>
          <w:sz w:val="21"/>
          <w:szCs w:val="21"/>
        </w:rPr>
      </w:r>
    </w:p>
    <w:p>
      <w:pPr>
        <w:spacing/>
        <w:ind/>
        <w:jc w:val="both"/>
        <w:rPr>
          <w:rFonts w:ascii="宋体" w:hAnsi="宋体" w:eastAsia="宋体"/>
          <w:sz w:val="21"/>
          <w:szCs w:val="21"/>
        </w:rPr>
      </w:pPr>
      <w:r>
        <w:rPr>
          <w:rFonts w:ascii="宋体" w:hAnsi="宋体" w:eastAsia="宋体"/>
          <w:sz w:val="21"/>
          <w:szCs w:val="21"/>
        </w:rPr>
      </w:r>
    </w:p>
    <w:p>
      <w:pPr>
        <w:spacing/>
        <w:ind/>
        <w:jc w:val="both"/>
        <w:rPr>
          <w:rFonts w:ascii="宋体" w:hAnsi="宋体" w:eastAsia="宋体"/>
          <w:sz w:val="21"/>
          <w:szCs w:val="21"/>
        </w:rPr>
      </w:pPr>
      <w:r>
        <w:rPr>
          <w:rFonts w:ascii="宋体" w:hAnsi="宋体" w:eastAsia="宋体"/>
          <w:sz w:val="21"/>
          <w:szCs w:val="21"/>
        </w:rPr>
      </w:r>
    </w:p>
    <w:p>
      <w:pPr>
        <w:spacing/>
        <w:ind/>
        <w:jc w:val="both"/>
        <w:rPr>
          <w:rFonts w:ascii="宋体" w:hAnsi="宋体" w:eastAsia="宋体"/>
          <w:sz w:val="21"/>
          <w:szCs w:val="21"/>
        </w:rPr>
      </w:pPr>
      <w:r>
        <w:rPr>
          <w:rFonts w:ascii="宋体" w:hAnsi="宋体" w:eastAsia="宋体"/>
          <w:sz w:val="21"/>
          <w:szCs w:val="21"/>
        </w:rPr>
      </w:r>
    </w:p>
    <w:p>
      <w:pPr>
        <w:spacing/>
        <w:ind/>
        <w:jc w:val="left"/>
        <w:rPr>
          <w:rFonts w:ascii="微软雅黑" w:hAnsi="微软雅黑" w:eastAsia="微软雅黑"/>
          <w:sz w:val="21"/>
          <w:szCs w:val="21"/>
        </w:rPr>
      </w:pPr>
      <w:r>
        <w:rPr>
          <w:rFonts w:ascii="微软雅黑" w:hAnsi="微软雅黑" w:eastAsia="微软雅黑"/>
          <w:sz w:val="21"/>
          <w:szCs w:val="21"/>
        </w:rPr>
      </w:r>
    </w:p>
    <w:p>
      <w:pPr>
        <w:spacing/>
        <w:ind/>
        <w:jc w:val="left"/>
        <w:rPr>
          <w:rFonts w:ascii="微软雅黑" w:hAnsi="微软雅黑" w:eastAsia="微软雅黑"/>
          <w:sz w:val="21"/>
          <w:szCs w:val="21"/>
        </w:rPr>
      </w:pPr>
      <w:r>
        <w:rPr>
          <w:rFonts w:ascii="微软雅黑" w:hAnsi="微软雅黑" w:eastAsia="微软雅黑"/>
          <w:sz w:val="21"/>
          <w:szCs w:val="21"/>
        </w:rPr>
      </w:r>
    </w:p>
    <w:p>
      <w:pPr>
        <w:spacing/>
        <w:ind/>
        <w:jc w:val="left"/>
        <w:rPr>
          <w:rFonts w:ascii="微软雅黑" w:hAnsi="微软雅黑" w:eastAsia="微软雅黑"/>
          <w:sz w:val="21"/>
          <w:szCs w:val="21"/>
        </w:rPr>
      </w:pPr>
      <w:r>
        <w:rPr>
          <w:rFonts w:ascii="微软雅黑" w:hAnsi="微软雅黑" w:eastAsia="微软雅黑"/>
          <w:sz w:val="21"/>
          <w:szCs w:val="21"/>
        </w:rPr>
      </w:r>
    </w:p>
    <w:tbl>
      <w:tblPr>
        <w:tblStyle w:val="a7"/>
        <w:tblW w:w="0" w:type="auto"/>
        <w:tblInd w:w="600"/>
        <w:tblLook w:firstRow="1" w:lastRow="0" w:firstColumn="1" w:lastColumn="0" w:noHBand="0" w:noVBand="1" w:val="04A0"/>
      </w:tblPr>
      <w:tblGrid>
        <w:gridCol w:w="1005"/>
        <w:gridCol w:w="5400"/>
      </w:tblGrid>
      <w:tr>
        <w:trPr>
          <w:trHeight w:val="420" w:hRule="atLeast"/>
        </w:trPr>
        <w:tc>
          <w:tcPr>
            <w:tcW w:w="100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leftChars="-342"/>
              <w:jc w:val="both"/>
              <w:rPr>
                <w:rFonts w:ascii="宋体" w:hAnsi="宋体" w:eastAsia="宋体"/>
                <w:sz w:val="18"/>
                <w:szCs w:val="18"/>
              </w:rPr>
            </w:pPr>
            <w:r>
              <w:rPr>
                <w:rFonts w:ascii="宋体" w:hAnsi="宋体" w:eastAsia="宋体"/>
                <w:sz w:val="18"/>
                <w:szCs w:val="18"/>
              </w:rPr>
              <w:t>地</w:t>
            </w:r>
            <w:r>
              <w:rPr>
                <w:rFonts w:ascii="Times New Roman" w:hAnsi="Times New Roman" w:eastAsia="Times New Roman"/>
                <w:sz w:val="18"/>
                <w:szCs w:val="18"/>
              </w:rPr>
              <w:t xml:space="preserve"> </w:t>
            </w:r>
            <w:r>
              <w:rPr>
                <w:rFonts w:ascii="宋体" w:hAnsi="宋体" w:eastAsia="宋体"/>
                <w:sz w:val="18"/>
                <w:szCs w:val="18"/>
              </w:rPr>
              <w:t>址：</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宋体" w:hAnsi="宋体" w:eastAsia="宋体"/>
                <w:sz w:val="18"/>
                <w:szCs w:val="18"/>
              </w:rPr>
            </w:pPr>
            <w:r>
              <w:rPr>
                <w:rFonts w:ascii="宋体" w:hAnsi="宋体" w:eastAsia="宋体"/>
                <w:sz w:val="18"/>
                <w:szCs w:val="18"/>
              </w:rPr>
              <w:t>青岛市宁夏路</w:t>
            </w:r>
            <w:r>
              <w:rPr>
                <w:rFonts w:ascii="Times New Roman" w:hAnsi="Times New Roman" w:eastAsia="Times New Roman"/>
                <w:sz w:val="18"/>
                <w:szCs w:val="18"/>
              </w:rPr>
              <w:t>288</w:t>
            </w:r>
            <w:r>
              <w:rPr>
                <w:rFonts w:ascii="宋体" w:hAnsi="宋体" w:eastAsia="宋体"/>
                <w:sz w:val="18"/>
                <w:szCs w:val="18"/>
              </w:rPr>
              <w:t>号青岛软件园</w:t>
            </w:r>
            <w:r>
              <w:rPr>
                <w:rFonts w:ascii="Times New Roman" w:hAnsi="Times New Roman" w:eastAsia="Times New Roman"/>
                <w:sz w:val="18"/>
                <w:szCs w:val="18"/>
              </w:rPr>
              <w:t>6</w:t>
            </w:r>
            <w:r>
              <w:rPr>
                <w:rFonts w:ascii="宋体" w:hAnsi="宋体" w:eastAsia="宋体"/>
                <w:sz w:val="18"/>
                <w:szCs w:val="18"/>
              </w:rPr>
              <w:t>号楼</w:t>
            </w:r>
            <w:r>
              <w:rPr>
                <w:rFonts w:ascii="Times New Roman" w:hAnsi="Times New Roman" w:eastAsia="Times New Roman"/>
                <w:sz w:val="18"/>
                <w:szCs w:val="18"/>
              </w:rPr>
              <w:t>5</w:t>
            </w:r>
            <w:r>
              <w:rPr>
                <w:rFonts w:ascii="宋体" w:hAnsi="宋体" w:eastAsia="宋体"/>
                <w:sz w:val="18"/>
                <w:szCs w:val="18"/>
              </w:rPr>
              <w:t>层</w:t>
            </w:r>
          </w:p>
        </w:tc>
      </w:tr>
      <w:tr>
        <w:trPr>
          <w:trHeight w:val="405" w:hRule="atLeast"/>
        </w:trPr>
        <w:tc>
          <w:tcPr>
            <w:tcW w:w="100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leftChars="-342"/>
              <w:jc w:val="both"/>
              <w:rPr>
                <w:rFonts w:ascii="宋体" w:hAnsi="宋体" w:eastAsia="宋体"/>
                <w:sz w:val="18"/>
                <w:szCs w:val="18"/>
              </w:rPr>
            </w:pPr>
            <w:r>
              <w:rPr>
                <w:rFonts w:ascii="宋体" w:hAnsi="宋体" w:eastAsia="宋体"/>
                <w:sz w:val="18"/>
                <w:szCs w:val="18"/>
              </w:rPr>
              <w:t>邮</w:t>
            </w:r>
            <w:r>
              <w:rPr>
                <w:rFonts w:ascii="Times New Roman" w:hAnsi="Times New Roman" w:eastAsia="Times New Roman"/>
                <w:sz w:val="18"/>
                <w:szCs w:val="18"/>
              </w:rPr>
              <w:t xml:space="preserve"> </w:t>
            </w:r>
            <w:r>
              <w:rPr>
                <w:rFonts w:ascii="宋体" w:hAnsi="宋体" w:eastAsia="宋体"/>
                <w:sz w:val="18"/>
                <w:szCs w:val="18"/>
              </w:rPr>
              <w:t>编：</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宋体" w:hAnsi="宋体" w:eastAsia="宋体"/>
                <w:sz w:val="18"/>
                <w:szCs w:val="18"/>
              </w:rPr>
            </w:pPr>
            <w:r>
              <w:rPr>
                <w:rFonts w:ascii="Times New Roman" w:hAnsi="Times New Roman" w:eastAsia="Times New Roman"/>
                <w:sz w:val="18"/>
                <w:szCs w:val="18"/>
              </w:rPr>
              <w:t>266024</w:t>
            </w:r>
          </w:p>
        </w:tc>
      </w:tr>
      <w:tr>
        <w:trPr>
          <w:trHeight w:val="405" w:hRule="atLeast"/>
        </w:trPr>
        <w:tc>
          <w:tcPr>
            <w:tcW w:w="100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leftChars="-342"/>
              <w:jc w:val="both"/>
              <w:rPr>
                <w:rFonts w:ascii="宋体" w:hAnsi="宋体" w:eastAsia="宋体"/>
                <w:sz w:val="18"/>
                <w:szCs w:val="18"/>
              </w:rPr>
            </w:pPr>
            <w:r>
              <w:rPr>
                <w:rFonts w:ascii="宋体" w:hAnsi="宋体" w:eastAsia="宋体"/>
                <w:sz w:val="18"/>
                <w:szCs w:val="18"/>
              </w:rPr>
              <w:t>电</w:t>
            </w:r>
            <w:r>
              <w:rPr>
                <w:rFonts w:ascii="Times New Roman" w:hAnsi="Times New Roman" w:eastAsia="Times New Roman"/>
                <w:sz w:val="18"/>
                <w:szCs w:val="18"/>
              </w:rPr>
              <w:t xml:space="preserve"> </w:t>
            </w:r>
            <w:r>
              <w:rPr>
                <w:rFonts w:ascii="宋体" w:hAnsi="宋体" w:eastAsia="宋体"/>
                <w:sz w:val="18"/>
                <w:szCs w:val="18"/>
              </w:rPr>
              <w:t>话：</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宋体" w:hAnsi="宋体" w:eastAsia="宋体"/>
                <w:sz w:val="18"/>
                <w:szCs w:val="18"/>
              </w:rPr>
            </w:pPr>
            <w:r>
              <w:rPr>
                <w:rFonts w:ascii="Times New Roman" w:hAnsi="Times New Roman" w:eastAsia="Times New Roman"/>
                <w:sz w:val="18"/>
                <w:szCs w:val="18"/>
              </w:rPr>
              <w:t>0532</w:t>
            </w:r>
            <w:r>
              <w:rPr>
                <w:rFonts w:ascii="宋体" w:hAnsi="宋体" w:eastAsia="宋体"/>
                <w:sz w:val="18"/>
                <w:szCs w:val="18"/>
              </w:rPr>
              <w:t>—</w:t>
            </w:r>
            <w:r>
              <w:rPr>
                <w:rFonts w:ascii="Times New Roman" w:hAnsi="Times New Roman" w:eastAsia="Times New Roman"/>
                <w:sz w:val="18"/>
                <w:szCs w:val="18"/>
              </w:rPr>
              <w:t xml:space="preserve">80970016/17/18  </w:t>
            </w:r>
          </w:p>
        </w:tc>
      </w:tr>
      <w:tr>
        <w:trPr>
          <w:trHeight w:val="405" w:hRule="atLeast"/>
        </w:trPr>
        <w:tc>
          <w:tcPr>
            <w:tcW w:w="100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leftChars="-342"/>
              <w:jc w:val="both"/>
              <w:rPr>
                <w:rFonts w:ascii="宋体" w:hAnsi="宋体" w:eastAsia="宋体"/>
                <w:sz w:val="18"/>
                <w:szCs w:val="18"/>
              </w:rPr>
            </w:pPr>
            <w:r>
              <w:rPr>
                <w:rFonts w:ascii="宋体" w:hAnsi="宋体" w:eastAsia="宋体"/>
                <w:sz w:val="18"/>
                <w:szCs w:val="18"/>
              </w:rPr>
              <w:t>传</w:t>
            </w:r>
            <w:r>
              <w:rPr>
                <w:rFonts w:ascii="Times New Roman" w:hAnsi="Times New Roman" w:eastAsia="Times New Roman"/>
                <w:sz w:val="18"/>
                <w:szCs w:val="18"/>
              </w:rPr>
              <w:t xml:space="preserve"> </w:t>
            </w:r>
            <w:r>
              <w:rPr>
                <w:rFonts w:ascii="宋体" w:hAnsi="宋体" w:eastAsia="宋体"/>
                <w:sz w:val="18"/>
                <w:szCs w:val="18"/>
              </w:rPr>
              <w:t>真：</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宋体" w:hAnsi="宋体" w:eastAsia="宋体"/>
                <w:sz w:val="18"/>
                <w:szCs w:val="18"/>
              </w:rPr>
            </w:pPr>
            <w:r>
              <w:rPr>
                <w:rFonts w:ascii="Times New Roman" w:hAnsi="Times New Roman" w:eastAsia="Times New Roman"/>
                <w:sz w:val="18"/>
                <w:szCs w:val="18"/>
              </w:rPr>
              <w:t>0532</w:t>
            </w:r>
            <w:r>
              <w:rPr>
                <w:rFonts w:ascii="宋体" w:hAnsi="宋体" w:eastAsia="宋体"/>
                <w:sz w:val="18"/>
                <w:szCs w:val="18"/>
              </w:rPr>
              <w:t>—</w:t>
            </w:r>
            <w:r>
              <w:rPr>
                <w:rFonts w:ascii="Times New Roman" w:hAnsi="Times New Roman" w:eastAsia="Times New Roman"/>
                <w:sz w:val="18"/>
                <w:szCs w:val="18"/>
              </w:rPr>
              <w:t>80970021</w:t>
            </w:r>
          </w:p>
        </w:tc>
      </w:tr>
      <w:tr>
        <w:trPr>
          <w:trHeight w:val="420" w:hRule="atLeast"/>
        </w:trPr>
        <w:tc>
          <w:tcPr>
            <w:tcW w:w="100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leftChars="-342"/>
              <w:jc w:val="both"/>
              <w:rPr>
                <w:rFonts w:ascii="宋体" w:hAnsi="宋体" w:eastAsia="宋体"/>
                <w:sz w:val="18"/>
                <w:szCs w:val="18"/>
              </w:rPr>
            </w:pPr>
            <w:r>
              <w:rPr>
                <w:rFonts w:ascii="宋体" w:hAnsi="宋体" w:eastAsia="宋体"/>
                <w:sz w:val="18"/>
                <w:szCs w:val="18"/>
              </w:rPr>
              <w:t>网</w:t>
            </w:r>
            <w:r>
              <w:rPr>
                <w:rFonts w:ascii="Times New Roman" w:hAnsi="Times New Roman" w:eastAsia="Times New Roman"/>
                <w:sz w:val="18"/>
                <w:szCs w:val="18"/>
              </w:rPr>
              <w:t xml:space="preserve"> </w:t>
            </w:r>
            <w:r>
              <w:rPr>
                <w:rFonts w:ascii="宋体" w:hAnsi="宋体" w:eastAsia="宋体"/>
                <w:sz w:val="18"/>
                <w:szCs w:val="18"/>
              </w:rPr>
              <w:t>址：</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宋体" w:hAnsi="宋体" w:eastAsia="宋体"/>
                <w:sz w:val="18"/>
                <w:szCs w:val="18"/>
              </w:rPr>
            </w:pPr>
            <w:r>
              <w:rPr>
                <w:rFonts w:ascii="Times New Roman" w:hAnsi="Times New Roman" w:eastAsia="Times New Roman"/>
                <w:sz w:val="18"/>
                <w:szCs w:val="18"/>
              </w:rPr>
              <w:t>http://www.topscomm.com</w:t>
            </w:r>
          </w:p>
        </w:tc>
      </w:tr>
    </w:tbl>
    <w:p>
      <w:pPr>
        <w:spacing/>
        <w:ind/>
        <w:jc w:val="center"/>
        <w:rPr>
          <w:rFonts w:ascii="微软雅黑" w:hAnsi="微软雅黑" w:eastAsia="微软雅黑"/>
          <w:sz w:val="21"/>
          <w:szCs w:val="21"/>
        </w:rPr>
      </w:pPr>
      <w:r>
        <w:rPr>
          <w:rFonts w:ascii="黑体" w:hAnsi="黑体" w:eastAsia="黑体"/>
          <w:sz w:val="32"/>
          <w:szCs w:val="32"/>
        </w:rPr>
      </w:r>
    </w:p>
    <w:p>
      <w:pPr>
        <w:spacing w:before="640" w:after="560" w:line="460" w:lineRule="exact"/>
        <w:ind/>
        <w:jc w:val="center"/>
        <w:rPr>
          <w:rFonts w:ascii="宋体" w:hAnsi="宋体" w:eastAsia="宋体"/>
          <w:sz w:val="32"/>
          <w:szCs w:val="32"/>
        </w:rPr>
      </w:pPr>
      <w:r>
        <w:rPr>
          <w:rFonts w:ascii="黑体" w:hAnsi="黑体" w:eastAsia="黑体"/>
          <w:sz w:val="32"/>
          <w:szCs w:val="32"/>
        </w:rPr>
        <w:t>目  次</w:t>
      </w:r>
    </w:p>
    <w:p>
      <w:pPr>
        <w:spacing w:before="93" w:after="93"/>
        <w:ind/>
        <w:jc w:val="both"/>
        <w:rPr>
          <w:rFonts w:ascii="等线" w:hAnsi="等线" w:eastAsia="等线"/>
          <w:sz w:val="21"/>
          <w:szCs w:val="21"/>
        </w:rPr>
      </w:pPr>
      <w:r>
        <w:rPr>
          <w:rFonts w:ascii="等线" w:hAnsi="等线" w:eastAsia="等线"/>
          <w:sz w:val="21"/>
          <w:szCs w:val="21"/>
        </w:rPr>
      </w:r>
      <w:r>
        <w:rPr>
          <w:rFonts w:ascii="等线" w:hAnsi="等线" w:eastAsia="等线"/>
          <w:sz w:val="21"/>
          <w:szCs w:val="21"/>
        </w:rPr>
      </w: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1 产品简介</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2 性能指标</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3 工作原理框图</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2</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 功能特点</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2</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4.1 计量功能</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2</w:t>
      </w:r>
      <w:r>
        <w:rPr>
          <w:rFonts w:ascii="等线" w:hAnsi="等线" w:eastAsia="等线"/>
          <w:sz w:val="21"/>
          <w:szCs w:val="21"/>
        </w:rPr>
      </w:r>
      <w:r>
        <w:rPr>
          <w:rFonts w:ascii="等线" w:hAnsi="等线" w:eastAsia="等线"/>
          <w:color w:val="0000FF"/>
          <w:sz w:val="21"/>
          <w:szCs w:val="21"/>
        </w:rPr>
      </w:r>
    </w:p>
    <w:p>
      <w:pPr>
        <w:spacing/>
        <w:ind w:firstLine="840"/>
        <w:jc w:val="left"/>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4.1.1 电量计量</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2</w:t>
      </w:r>
      <w:r>
        <w:rPr>
          <w:rFonts w:ascii="等线" w:hAnsi="等线" w:eastAsia="等线"/>
          <w:sz w:val="21"/>
          <w:szCs w:val="21"/>
        </w:rPr>
      </w:r>
      <w:r>
        <w:rPr>
          <w:rFonts w:ascii="等线" w:hAnsi="等线" w:eastAsia="等线"/>
          <w:color w:val="0000FF"/>
          <w:sz w:val="21"/>
          <w:szCs w:val="21"/>
        </w:rPr>
      </w:r>
    </w:p>
    <w:p>
      <w:pPr>
        <w:spacing/>
        <w:ind w:firstLine="840"/>
        <w:jc w:val="left"/>
        <w:rPr>
          <w:rFonts w:ascii="等线" w:hAnsi="等线" w:eastAsia="等线"/>
          <w:sz w:val="21"/>
          <w:szCs w:val="21"/>
        </w:rPr>
      </w:pPr>
      <w:r>
        <w:rPr>
          <w:rFonts w:ascii="等线" w:hAnsi="等线" w:eastAsia="等线"/>
          <w:color w:val="0000FF"/>
          <w:sz w:val="21"/>
          <w:szCs w:val="21"/>
        </w:rPr>
      </w:r>
      <w:hyperlink r:id="rId13">
        <w:r>
          <w:rPr>
            <w:rFonts w:ascii="等线" w:hAnsi="等线" w:eastAsia="等线"/>
            <w:color w:val="0000FF"/>
            <w:sz w:val="21"/>
            <w:szCs w:val="21"/>
          </w:rPr>
        </w:r>
      </w:hyperlink>
      <w:hyperlink r:id="rId14">
        <w:r>
          <w:rPr>
            <w:rFonts w:ascii="等线" w:hAnsi="等线" w:eastAsia="等线"/>
            <w:color w:val="0000FF"/>
            <w:sz w:val="21"/>
            <w:szCs w:val="21"/>
          </w:rPr>
          <w:t>4.1.2 电量冻结</w:t>
        </w:r>
      </w:hyperlink>
      <w:hyperlink r:id="rId15">
        <w:r>
          <w:rPr>
            <w:rFonts w:ascii="等线" w:hAnsi="等线" w:eastAsia="等线"/>
            <w:sz w:val="21"/>
            <w:szCs w:val="21"/>
          </w:rPr>
          <w:t xml:space="preserve">	</w:t>
        </w:r>
      </w:hyperlink>
      <w:hyperlink r:id="rId16">
        <w:r>
          <w:rPr>
            <w:rFonts w:ascii="等线" w:hAnsi="等线" w:eastAsia="等线"/>
            <w:sz w:val="21"/>
            <w:szCs w:val="21"/>
          </w:rPr>
        </w:r>
      </w:hyperlink>
      <w:hyperlink r:id="rId17">
        <w:r>
          <w:rPr>
            <w:rFonts w:ascii="等线" w:hAnsi="等线" w:eastAsia="等线"/>
            <w:sz w:val="21"/>
            <w:szCs w:val="21"/>
          </w:rPr>
        </w:r>
      </w:hyperlink>
      <w:hyperlink r:id="rId18">
        <w:r>
          <w:rPr>
            <w:rFonts w:ascii="等线" w:hAnsi="等线" w:eastAsia="等线"/>
            <w:sz w:val="21"/>
            <w:szCs w:val="21"/>
          </w:rPr>
          <w:t>2</w:t>
        </w:r>
      </w:hyperlink>
      <w:r>
        <w:rPr>
          <w:rFonts w:ascii="等线" w:hAnsi="等线" w:eastAsia="等线"/>
          <w:sz w:val="21"/>
          <w:szCs w:val="21"/>
        </w:rPr>
      </w:r>
      <w:r>
        <w:rPr>
          <w:rFonts w:ascii="等线" w:hAnsi="等线" w:eastAsia="等线"/>
          <w:color w:val="0000FF"/>
          <w:sz w:val="21"/>
          <w:szCs w:val="21"/>
        </w:rPr>
      </w:r>
    </w:p>
    <w:p>
      <w:pPr>
        <w:spacing/>
        <w:ind w:firstLine="840"/>
        <w:jc w:val="left"/>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4.1.3 清零</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3</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4.2 时钟</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3</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4.3 安全认证</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3</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4.4 电力参数测量及监测</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3</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4.5 事件记录</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3</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4.6 广播校时</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3</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4.7 显示功能</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3</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4.8 通讯功能</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4</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4.9 信号输出</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4</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hyperlink r:id="rId19">
        <w:r>
          <w:rPr>
            <w:rFonts w:ascii="等线" w:hAnsi="等线" w:eastAsia="等线"/>
            <w:color w:val="0000FF"/>
            <w:sz w:val="21"/>
            <w:szCs w:val="21"/>
          </w:rPr>
        </w:r>
      </w:hyperlink>
      <w:hyperlink r:id="rId20">
        <w:r>
          <w:rPr>
            <w:rFonts w:ascii="等线" w:hAnsi="等线" w:eastAsia="等线"/>
            <w:color w:val="0000FF"/>
            <w:sz w:val="21"/>
            <w:szCs w:val="21"/>
          </w:rPr>
          <w:t>4.10 报警功能</w:t>
        </w:r>
      </w:hyperlink>
      <w:hyperlink r:id="rId21">
        <w:r>
          <w:rPr>
            <w:rFonts w:ascii="等线" w:hAnsi="等线" w:eastAsia="等线"/>
            <w:sz w:val="21"/>
            <w:szCs w:val="21"/>
          </w:rPr>
          <w:t xml:space="preserve">	</w:t>
        </w:r>
      </w:hyperlink>
      <w:hyperlink r:id="rId22">
        <w:r>
          <w:rPr>
            <w:rFonts w:ascii="等线" w:hAnsi="等线" w:eastAsia="等线"/>
            <w:sz w:val="21"/>
            <w:szCs w:val="21"/>
          </w:rPr>
        </w:r>
      </w:hyperlink>
      <w:hyperlink r:id="rId23">
        <w:r>
          <w:rPr>
            <w:rFonts w:ascii="等线" w:hAnsi="等线" w:eastAsia="等线"/>
            <w:sz w:val="21"/>
            <w:szCs w:val="21"/>
          </w:rPr>
        </w:r>
      </w:hyperlink>
      <w:hyperlink r:id="rId24">
        <w:r>
          <w:rPr>
            <w:rFonts w:ascii="等线" w:hAnsi="等线" w:eastAsia="等线"/>
            <w:sz w:val="21"/>
            <w:szCs w:val="21"/>
          </w:rPr>
          <w:t>4</w:t>
        </w:r>
      </w:hyperlink>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4.11 费控功能</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4</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4.12 费控指示</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4</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5</w:t>
      </w:r>
      <w:r>
        <w:rPr>
          <w:rFonts w:ascii="Times New Roman" w:hAnsi="Times New Roman" w:eastAsia="Times New Roman"/>
          <w:color w:val="0000FF"/>
          <w:sz w:val="21"/>
          <w:szCs w:val="21"/>
        </w:rPr>
        <w:t xml:space="preserve"> 操作说明</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5</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5.1</w:t>
      </w:r>
      <w:r>
        <w:rPr>
          <w:rFonts w:ascii="Times New Roman" w:hAnsi="Times New Roman" w:eastAsia="Times New Roman"/>
          <w:color w:val="0000FF"/>
          <w:sz w:val="21"/>
          <w:szCs w:val="21"/>
        </w:rPr>
        <w:t xml:space="preserve"> 显示界面</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5</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5.2 操作按键</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6</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5.3 背光点亮</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7</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hyperlink r:id="rId25">
        <w:r>
          <w:rPr>
            <w:rFonts w:ascii="等线" w:hAnsi="等线" w:eastAsia="等线"/>
            <w:color w:val="0000FF"/>
            <w:sz w:val="21"/>
            <w:szCs w:val="21"/>
          </w:rPr>
        </w:r>
      </w:hyperlink>
      <w:hyperlink r:id="rId26">
        <w:r>
          <w:rPr>
            <w:rFonts w:ascii="等线" w:hAnsi="等线" w:eastAsia="等线"/>
            <w:color w:val="0000FF"/>
            <w:sz w:val="21"/>
            <w:szCs w:val="21"/>
          </w:rPr>
          <w:t>6 关键元器件清单</w:t>
        </w:r>
      </w:hyperlink>
      <w:hyperlink r:id="rId27">
        <w:r>
          <w:rPr>
            <w:rFonts w:ascii="等线" w:hAnsi="等线" w:eastAsia="等线"/>
            <w:sz w:val="21"/>
            <w:szCs w:val="21"/>
          </w:rPr>
          <w:t xml:space="preserve">	</w:t>
        </w:r>
      </w:hyperlink>
      <w:hyperlink r:id="rId28">
        <w:r>
          <w:rPr>
            <w:rFonts w:ascii="等线" w:hAnsi="等线" w:eastAsia="等线"/>
            <w:sz w:val="21"/>
            <w:szCs w:val="21"/>
          </w:rPr>
        </w:r>
      </w:hyperlink>
      <w:hyperlink r:id="rId29">
        <w:r>
          <w:rPr>
            <w:rFonts w:ascii="等线" w:hAnsi="等线" w:eastAsia="等线"/>
            <w:sz w:val="21"/>
            <w:szCs w:val="21"/>
          </w:rPr>
        </w:r>
      </w:hyperlink>
      <w:hyperlink r:id="rId30">
        <w:r>
          <w:rPr>
            <w:rFonts w:ascii="等线" w:hAnsi="等线" w:eastAsia="等线"/>
            <w:sz w:val="21"/>
            <w:szCs w:val="21"/>
          </w:rPr>
          <w:t>7</w:t>
        </w:r>
      </w:hyperlink>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7 安装与接线</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8</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7.1 外形图与安装尺寸</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8</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7.2 状态指示</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9</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7.3</w:t>
      </w:r>
      <w:r>
        <w:rPr>
          <w:rFonts w:ascii="Times New Roman" w:hAnsi="Times New Roman" w:eastAsia="Times New Roman"/>
          <w:color w:val="0000FF"/>
          <w:sz w:val="21"/>
          <w:szCs w:val="21"/>
        </w:rPr>
        <w:t xml:space="preserve"> 接线端子图</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9</w:t>
      </w:r>
      <w:r>
        <w:rPr>
          <w:rFonts w:ascii="等线" w:hAnsi="等线" w:eastAsia="等线"/>
          <w:sz w:val="21"/>
          <w:szCs w:val="21"/>
        </w:rPr>
      </w:r>
      <w:r>
        <w:rPr>
          <w:rFonts w:ascii="等线" w:hAnsi="等线" w:eastAsia="等线"/>
          <w:color w:val="0000FF"/>
          <w:sz w:val="21"/>
          <w:szCs w:val="21"/>
        </w:rPr>
      </w:r>
    </w:p>
    <w:p>
      <w:pPr>
        <w:spacing/>
        <w:ind w:firstLine="840"/>
        <w:jc w:val="left"/>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7.3.1 接线端子图</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9</w:t>
      </w:r>
      <w:r>
        <w:rPr>
          <w:rFonts w:ascii="等线" w:hAnsi="等线" w:eastAsia="等线"/>
          <w:sz w:val="21"/>
          <w:szCs w:val="21"/>
        </w:rPr>
      </w:r>
      <w:r>
        <w:rPr>
          <w:rFonts w:ascii="等线" w:hAnsi="等线" w:eastAsia="等线"/>
          <w:color w:val="0000FF"/>
          <w:sz w:val="21"/>
          <w:szCs w:val="21"/>
        </w:rPr>
      </w:r>
    </w:p>
    <w:p>
      <w:pPr>
        <w:spacing/>
        <w:ind w:firstLine="840"/>
        <w:jc w:val="left"/>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7.3.2 脉冲输出端口示意图</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10</w:t>
      </w:r>
      <w:r>
        <w:rPr>
          <w:rFonts w:ascii="等线" w:hAnsi="等线" w:eastAsia="等线"/>
          <w:sz w:val="21"/>
          <w:szCs w:val="21"/>
        </w:rPr>
      </w:r>
      <w:r>
        <w:rPr>
          <w:rFonts w:ascii="等线" w:hAnsi="等线" w:eastAsia="等线"/>
          <w:color w:val="0000FF"/>
          <w:sz w:val="21"/>
          <w:szCs w:val="21"/>
        </w:rPr>
      </w:r>
    </w:p>
    <w:p>
      <w:pPr>
        <w:spacing/>
        <w:ind w:firstLine="840"/>
        <w:jc w:val="left"/>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7.3.3 RS-485口接法及说明</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10</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8 安装环境要求</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11</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8.1 避免靠近易燃易爆环境</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11</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8.2</w:t>
      </w:r>
      <w:r>
        <w:rPr>
          <w:rFonts w:ascii="Times New Roman" w:hAnsi="Times New Roman" w:eastAsia="Times New Roman"/>
          <w:color w:val="0000FF"/>
          <w:sz w:val="21"/>
          <w:szCs w:val="21"/>
        </w:rPr>
        <w:t xml:space="preserve"> 避免高温高湿环境</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11</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8.3 远离高能量电磁环境</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11</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8.4 保证良好的电气环境</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11</w:t>
      </w:r>
      <w:r>
        <w:rPr>
          <w:rFonts w:ascii="等线" w:hAnsi="等线" w:eastAsia="等线"/>
          <w:sz w:val="21"/>
          <w:szCs w:val="21"/>
        </w:rPr>
      </w:r>
      <w:r>
        <w:rPr>
          <w:rFonts w:ascii="等线" w:hAnsi="等线" w:eastAsia="等线"/>
          <w:color w:val="0000FF"/>
          <w:sz w:val="21"/>
          <w:szCs w:val="21"/>
        </w:rPr>
      </w:r>
    </w:p>
    <w:p>
      <w:pPr>
        <w:spacing/>
        <w:ind w:firstLine="420"/>
        <w:jc w:val="both"/>
        <w:rPr>
          <w:rFonts w:ascii="等线" w:hAnsi="等线" w:eastAsia="等线"/>
          <w:sz w:val="21"/>
          <w:szCs w:val="21"/>
        </w:rPr>
      </w:pPr>
      <w:r>
        <w:rPr>
          <w:rFonts w:ascii="等线" w:hAnsi="等线" w:eastAsia="等线"/>
          <w:color w:val="0000FF"/>
          <w:sz w:val="21"/>
          <w:szCs w:val="21"/>
        </w:rPr>
      </w:r>
      <w:hyperlink r:id="rId31">
        <w:r>
          <w:rPr>
            <w:rFonts w:ascii="等线" w:hAnsi="等线" w:eastAsia="等线"/>
            <w:color w:val="0000FF"/>
            <w:sz w:val="21"/>
            <w:szCs w:val="21"/>
          </w:rPr>
        </w:r>
      </w:hyperlink>
      <w:hyperlink r:id="rId32">
        <w:r>
          <w:rPr>
            <w:rFonts w:ascii="等线" w:hAnsi="等线" w:eastAsia="等线"/>
            <w:color w:val="0000FF"/>
            <w:sz w:val="21"/>
            <w:szCs w:val="21"/>
          </w:rPr>
          <w:t>8.5 保证安装位置的机械强度</w:t>
        </w:r>
      </w:hyperlink>
      <w:hyperlink r:id="rId33">
        <w:r>
          <w:rPr>
            <w:rFonts w:ascii="等线" w:hAnsi="等线" w:eastAsia="等线"/>
            <w:sz w:val="21"/>
            <w:szCs w:val="21"/>
          </w:rPr>
          <w:t xml:space="preserve">	</w:t>
        </w:r>
      </w:hyperlink>
      <w:hyperlink r:id="rId34">
        <w:r>
          <w:rPr>
            <w:rFonts w:ascii="等线" w:hAnsi="等线" w:eastAsia="等线"/>
            <w:sz w:val="21"/>
            <w:szCs w:val="21"/>
          </w:rPr>
        </w:r>
      </w:hyperlink>
      <w:hyperlink r:id="rId35">
        <w:r>
          <w:rPr>
            <w:rFonts w:ascii="等线" w:hAnsi="等线" w:eastAsia="等线"/>
            <w:sz w:val="21"/>
            <w:szCs w:val="21"/>
          </w:rPr>
        </w:r>
      </w:hyperlink>
      <w:hyperlink r:id="rId36">
        <w:r>
          <w:rPr>
            <w:rFonts w:ascii="等线" w:hAnsi="等线" w:eastAsia="等线"/>
            <w:sz w:val="21"/>
            <w:szCs w:val="21"/>
          </w:rPr>
          <w:t>12</w:t>
        </w:r>
      </w:hyperlink>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9 使用注意事项</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12</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10 运输和储存</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12</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11 保修期限</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12</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等线" w:hAnsi="等线" w:eastAsia="等线"/>
          <w:sz w:val="21"/>
          <w:szCs w:val="21"/>
        </w:rPr>
      </w:pPr>
      <w:r>
        <w:rPr>
          <w:rFonts w:ascii="等线" w:hAnsi="等线" w:eastAsia="等线"/>
          <w:color w:val="0000FF"/>
          <w:sz w:val="21"/>
          <w:szCs w:val="21"/>
        </w:rPr>
      </w:r>
      <w:r>
        <w:rPr>
          <w:rFonts w:ascii="等线" w:hAnsi="等线" w:eastAsia="等线"/>
          <w:color w:val="0000FF"/>
          <w:sz w:val="21"/>
          <w:szCs w:val="21"/>
        </w:rPr>
      </w:r>
      <w:r>
        <w:rPr>
          <w:rFonts w:ascii="等线" w:hAnsi="等线" w:eastAsia="等线"/>
          <w:color w:val="0000FF"/>
          <w:sz w:val="21"/>
          <w:szCs w:val="21"/>
        </w:rPr>
        <w:t>12 声明</w:t>
      </w:r>
      <w:r>
        <w:rPr>
          <w:rFonts w:ascii="等线" w:hAnsi="等线" w:eastAsia="等线"/>
          <w:sz w:val="21"/>
          <w:szCs w:val="21"/>
        </w:rPr>
        <w:t xml:space="preserve">	</w:t>
      </w:r>
      <w:r>
        <w:rPr>
          <w:rFonts w:ascii="等线" w:hAnsi="等线" w:eastAsia="等线"/>
          <w:sz w:val="21"/>
          <w:szCs w:val="21"/>
        </w:rPr>
      </w:r>
      <w:r>
        <w:rPr>
          <w:rFonts w:ascii="等线" w:hAnsi="等线" w:eastAsia="等线"/>
          <w:sz w:val="21"/>
          <w:szCs w:val="21"/>
        </w:rPr>
      </w:r>
      <w:r>
        <w:rPr>
          <w:rFonts w:ascii="等线" w:hAnsi="等线" w:eastAsia="等线"/>
          <w:sz w:val="21"/>
          <w:szCs w:val="21"/>
        </w:rPr>
        <w:t>12</w:t>
      </w:r>
      <w:r>
        <w:rPr>
          <w:rFonts w:ascii="等线" w:hAnsi="等线" w:eastAsia="等线"/>
          <w:sz w:val="21"/>
          <w:szCs w:val="21"/>
        </w:rPr>
      </w:r>
      <w:r>
        <w:rPr>
          <w:rFonts w:ascii="等线" w:hAnsi="等线" w:eastAsia="等线"/>
          <w:color w:val="0000FF"/>
          <w:sz w:val="21"/>
          <w:szCs w:val="21"/>
        </w:rPr>
      </w:r>
    </w:p>
    <w:p>
      <w:pPr>
        <w:spacing w:before="93" w:after="93"/>
        <w:ind/>
        <w:jc w:val="both"/>
        <w:rPr>
          <w:rFonts w:ascii="宋体" w:hAnsi="宋体" w:eastAsia="宋体"/>
          <w:sz w:val="21"/>
          <w:szCs w:val="21"/>
        </w:rPr>
      </w:pPr>
      <w:r>
        <w:rPr>
          <w:rFonts w:ascii="Times New Roman" w:hAnsi="Times New Roman" w:eastAsia="Times New Roman"/>
          <w:sz w:val="21"/>
          <w:szCs w:val="21"/>
        </w:rPr>
      </w:r>
    </w:p>
    <w:p>
      <w:pPr>
        <w:pStyle w:val="heading1"/>
        <w:numPr>
          <w:ilvl w:val="0"/>
          <w:numId w:val="37"/>
        </w:numPr>
        <w:snapToGrid w:val="true"/>
        <w:spacing w:before="312" w:after="312"/>
        <w:ind w:firstLine="0"/>
        <w:jc w:val="both"/>
        <w:rPr>
          <w:rFonts w:ascii="黑体" w:hAnsi="黑体" w:eastAsia="黑体"/>
        </w:rPr>
      </w:pPr>
      <w:r>
        <w:rPr>
          <w:rFonts w:hint="eastAsia"/>
        </w:rPr>
      </w:r>
      <w:r>
        <w:rPr>
          <w:rFonts w:ascii="黑体" w:hAnsi="黑体" w:eastAsia="黑体"/>
        </w:rPr>
        <w:t>产品简介</w:t>
      </w:r>
    </w:p>
    <w:p>
      <w:pPr>
        <w:spacing w:before="24" w:line="380" w:lineRule="exact"/>
        <w:ind w:firstLineChars="200"/>
        <w:jc w:val="both"/>
        <w:rPr>
          <w:rFonts w:ascii="宋体" w:hAnsi="宋体" w:eastAsia="宋体"/>
          <w:sz w:val="21"/>
          <w:szCs w:val="21"/>
        </w:rPr>
      </w:pPr>
      <w:r>
        <w:rPr>
          <w:rFonts w:ascii="宋体" w:hAnsi="宋体" w:eastAsia="宋体"/>
          <w:sz w:val="21"/>
          <w:szCs w:val="21"/>
        </w:rPr>
        <w:t>DTZY1710C-G型三相四线费控智能电能表，是青岛鼎信通讯股份有限公司研制生产的新一代智能型高科技电能计量产品。</w:t>
      </w:r>
    </w:p>
    <w:p>
      <w:pPr>
        <w:spacing w:after="93"/>
        <w:ind w:firstLine="420"/>
        <w:jc w:val="both"/>
        <w:rPr>
          <w:rFonts w:ascii="宋体" w:hAnsi="宋体" w:eastAsia="宋体"/>
          <w:sz w:val="21"/>
          <w:szCs w:val="21"/>
        </w:rPr>
      </w:pPr>
      <w:r>
        <w:rPr>
          <w:rFonts w:ascii="宋体" w:hAnsi="宋体" w:eastAsia="宋体"/>
          <w:color w:val="000000"/>
          <w:sz w:val="21"/>
          <w:szCs w:val="21"/>
        </w:rPr>
        <w:t>该电能表采用了高速数据处理芯片、永久保存信息的存贮器、</w:t>
      </w:r>
      <w:r>
        <w:rPr>
          <w:rFonts w:ascii="Times New Roman" w:hAnsi="Times New Roman" w:eastAsia="Times New Roman"/>
          <w:color w:val="000000"/>
          <w:sz w:val="21"/>
          <w:szCs w:val="21"/>
        </w:rPr>
        <w:t>485</w:t>
      </w:r>
      <w:r>
        <w:rPr>
          <w:rFonts w:ascii="宋体" w:hAnsi="宋体" w:eastAsia="宋体"/>
          <w:color w:val="000000"/>
          <w:sz w:val="21"/>
          <w:szCs w:val="21"/>
        </w:rPr>
        <w:t>通讯、无线通讯和红外通讯、大画面宽温液晶显示等先进技术。电能表采用了先进的</w:t>
      </w:r>
      <w:r>
        <w:rPr>
          <w:rFonts w:ascii="Times New Roman" w:hAnsi="Times New Roman" w:eastAsia="Times New Roman"/>
          <w:color w:val="000000"/>
          <w:sz w:val="21"/>
          <w:szCs w:val="21"/>
        </w:rPr>
        <w:t>SMT</w:t>
      </w:r>
      <w:r>
        <w:rPr>
          <w:rFonts w:ascii="宋体" w:hAnsi="宋体" w:eastAsia="宋体"/>
          <w:color w:val="000000"/>
          <w:sz w:val="21"/>
          <w:szCs w:val="21"/>
        </w:rPr>
        <w:t>表面贴装工艺，外壳采用高强度、阻燃环保材料、造型新颖、美观实用，具有较高的绝缘强度和耐腐蚀性。它集计量、费控、监控、显示、冻结、</w:t>
      </w:r>
      <w:r>
        <w:rPr>
          <w:rFonts w:ascii="Times New Roman" w:hAnsi="Times New Roman" w:eastAsia="Times New Roman"/>
          <w:color w:val="000000"/>
          <w:sz w:val="21"/>
          <w:szCs w:val="21"/>
        </w:rPr>
        <w:t>RS485</w:t>
      </w:r>
      <w:r>
        <w:rPr>
          <w:rFonts w:ascii="宋体" w:hAnsi="宋体" w:eastAsia="宋体"/>
          <w:color w:val="000000"/>
          <w:sz w:val="21"/>
          <w:szCs w:val="21"/>
        </w:rPr>
        <w:t>通讯、红外通讯、无线通讯功能于一身，实现单个居民用户的用电计量和用电信息采集存储。</w:t>
      </w:r>
    </w:p>
    <w:p>
      <w:pPr>
        <w:pStyle w:val="heading1"/>
        <w:numPr>
          <w:ilvl w:val="0"/>
          <w:numId w:val="37"/>
        </w:numPr>
        <w:snapToGrid w:val="true"/>
        <w:spacing w:before="312" w:after="312"/>
        <w:ind w:firstLine="0"/>
        <w:jc w:val="both"/>
        <w:rPr>
          <w:rFonts w:ascii="宋体" w:hAnsi="宋体" w:eastAsia="宋体"/>
        </w:rPr>
      </w:pPr>
      <w:r>
        <w:rPr>
          <w:rFonts w:hint="eastAsia"/>
        </w:rPr>
      </w:r>
      <w:r>
        <w:rPr>
          <w:rFonts w:ascii="黑体" w:hAnsi="黑体" w:eastAsia="黑体"/>
        </w:rPr>
        <w:t>性能指标</w:t>
      </w:r>
    </w:p>
    <w:p>
      <w:pPr>
        <w:numPr>
          <w:ilvl w:val="0"/>
          <w:numId w:val="41"/>
        </w:numPr>
        <w:spacing w:line="288" w:lineRule="auto"/>
        <w:ind w:hanging="420"/>
        <w:jc w:val="left"/>
        <w:rPr>
          <w:rFonts w:ascii="宋体" w:hAnsi="宋体" w:eastAsia="宋体"/>
          <w:sz w:val="21"/>
          <w:szCs w:val="21"/>
        </w:rPr>
      </w:pPr>
      <w:r>
        <w:rPr>
          <w:rFonts w:hint="eastAsia"/>
        </w:rPr>
      </w:r>
      <w:r>
        <w:rPr>
          <w:rFonts w:ascii="黑体" w:hAnsi="黑体" w:eastAsia="黑体"/>
          <w:sz w:val="21"/>
          <w:szCs w:val="21"/>
        </w:rPr>
        <w:t>主要技术参数</w:t>
      </w:r>
    </w:p>
    <w:p>
      <w:pPr>
        <w:spacing w:before="156" w:after="156"/>
        <w:ind/>
        <w:jc w:val="center"/>
        <w:rPr>
          <w:rFonts w:ascii="宋体" w:hAnsi="宋体" w:eastAsia="宋体"/>
          <w:sz w:val="21"/>
          <w:szCs w:val="21"/>
        </w:rPr>
      </w:pPr>
      <w:r>
        <w:rPr>
          <w:rFonts w:ascii="黑体" w:hAnsi="黑体" w:eastAsia="黑体"/>
          <w:sz w:val="21"/>
          <w:szCs w:val="21"/>
        </w:rPr>
        <w:t xml:space="preserve">表 </w:t>
      </w:r>
      <w:r>
        <w:rPr>
          <w:rFonts w:ascii="黑体" w:hAnsi="黑体" w:eastAsia="黑体"/>
          <w:sz w:val="21"/>
          <w:szCs w:val="21"/>
        </w:rPr>
      </w:r>
      <w:r>
        <w:rPr>
          <w:rFonts w:ascii="黑体" w:hAnsi="黑体" w:eastAsia="黑体"/>
          <w:sz w:val="21"/>
          <w:szCs w:val="21"/>
        </w:rPr>
      </w:r>
      <w:r>
        <w:rPr>
          <w:rFonts w:ascii="黑体" w:hAnsi="黑体" w:eastAsia="黑体"/>
          <w:sz w:val="21"/>
          <w:szCs w:val="21"/>
        </w:rPr>
        <w:t>2</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1</w:t>
      </w:r>
      <w:r>
        <w:rPr>
          <w:rFonts w:ascii="黑体" w:hAnsi="黑体" w:eastAsia="黑体"/>
          <w:sz w:val="21"/>
          <w:szCs w:val="21"/>
        </w:rPr>
      </w:r>
      <w:r>
        <w:rPr>
          <w:rFonts w:ascii="黑体" w:hAnsi="黑体" w:eastAsia="黑体"/>
          <w:sz w:val="21"/>
          <w:szCs w:val="21"/>
        </w:rPr>
        <w:t>主要技术参数</w:t>
      </w:r>
    </w:p>
    <w:tbl>
      <w:tblPr>
        <w:tblStyle w:val="a7"/>
        <w:tblW w:w="0" w:type="auto"/>
        <w:tblInd w:w="600"/>
        <w:tblLook w:firstRow="1" w:lastRow="0" w:firstColumn="1" w:lastColumn="0" w:noHBand="0" w:noVBand="1" w:val="04A0"/>
      </w:tblPr>
      <w:tblGrid>
        <w:gridCol w:w="2280"/>
        <w:gridCol w:w="4935"/>
      </w:tblGrid>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型号</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DTZY1710C-G</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精度等级</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有功1级，无功2级；有功0.5S级，无功2级</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额定电压</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3×57.7V/100V；3×220V/380V</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标定(最大)电流</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3×0.3(1.2)A ；3×1.5(6)A ；3×5(60)A；3×10(100)A</w:t>
            </w:r>
          </w:p>
        </w:tc>
      </w:tr>
      <w:tr>
        <w:trPr>
          <w:trHeight w:val="31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静态功耗</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各相＜</w:t>
            </w:r>
            <w:r>
              <w:rPr>
                <w:rFonts w:ascii="Times New Roman" w:hAnsi="Times New Roman" w:eastAsia="Times New Roman"/>
                <w:sz w:val="20"/>
                <w:szCs w:val="20"/>
              </w:rPr>
              <w:t>1.5W</w:t>
            </w:r>
            <w:r>
              <w:rPr>
                <w:rFonts w:ascii="宋体" w:hAnsi="宋体" w:eastAsia="宋体"/>
                <w:sz w:val="20"/>
                <w:szCs w:val="20"/>
              </w:rPr>
              <w:t>、</w:t>
            </w:r>
            <w:r>
              <w:rPr>
                <w:rFonts w:ascii="Times New Roman" w:hAnsi="Times New Roman" w:eastAsia="Times New Roman"/>
                <w:sz w:val="20"/>
                <w:szCs w:val="20"/>
              </w:rPr>
              <w:t>6</w:t>
            </w:r>
            <w:r>
              <w:rPr>
                <w:rFonts w:ascii="宋体" w:hAnsi="宋体" w:eastAsia="宋体"/>
                <w:sz w:val="20"/>
                <w:szCs w:val="20"/>
              </w:rPr>
              <w:t>VA</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工作温度</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(-25℃～</w:t>
            </w:r>
            <w:r>
              <w:rPr>
                <w:rFonts w:ascii="Times New Roman" w:hAnsi="Times New Roman" w:eastAsia="Times New Roman"/>
                <w:sz w:val="20"/>
                <w:szCs w:val="20"/>
              </w:rPr>
              <w:t>+60</w:t>
            </w:r>
            <w:r>
              <w:rPr>
                <w:rFonts w:ascii="宋体" w:hAnsi="宋体" w:eastAsia="宋体"/>
                <w:sz w:val="20"/>
                <w:szCs w:val="20"/>
              </w:rPr>
              <w:t xml:space="preserve">)℃ </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极限工作温度</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(-25℃～</w:t>
            </w:r>
            <w:r>
              <w:rPr>
                <w:rFonts w:ascii="Times New Roman" w:hAnsi="Times New Roman" w:eastAsia="Times New Roman"/>
                <w:sz w:val="20"/>
                <w:szCs w:val="20"/>
              </w:rPr>
              <w:t>+70</w:t>
            </w:r>
            <w:r>
              <w:rPr>
                <w:rFonts w:ascii="宋体" w:hAnsi="宋体" w:eastAsia="宋体"/>
                <w:sz w:val="20"/>
                <w:szCs w:val="20"/>
              </w:rPr>
              <w:t>)℃</w:t>
            </w:r>
          </w:p>
        </w:tc>
      </w:tr>
      <w:tr>
        <w:trPr>
          <w:trHeight w:val="285" w:hRule="atLeast"/>
        </w:trPr>
        <w:tc>
          <w:tcPr>
            <w:tcW w:w="2280" w:type="dxa"/>
            <w:vMerge w:val="restart"/>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相对湿度</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年平均＜</w:t>
            </w:r>
            <w:r>
              <w:rPr>
                <w:rFonts w:ascii="Times New Roman" w:hAnsi="Times New Roman" w:eastAsia="Times New Roman"/>
                <w:sz w:val="20"/>
                <w:szCs w:val="20"/>
              </w:rPr>
              <w:t>75%</w:t>
            </w:r>
          </w:p>
        </w:tc>
      </w:tr>
      <w:tr>
        <w:trPr>
          <w:trHeight w:val="285" w:hRule="atLeast"/>
        </w:trPr>
        <w:tc>
          <w:tcPr>
            <w:tcW w:w="2280" w:type="dxa"/>
            <w:vMerge w:val="continue"/>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30天（这些天以自然分布在一年中）95%</w:t>
            </w:r>
          </w:p>
        </w:tc>
      </w:tr>
      <w:tr>
        <w:trPr>
          <w:trHeight w:val="285" w:hRule="atLeast"/>
        </w:trPr>
        <w:tc>
          <w:tcPr>
            <w:tcW w:w="2280" w:type="dxa"/>
            <w:vMerge w:val="continue"/>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在其他天偶然出现</w:t>
            </w:r>
            <w:r>
              <w:rPr>
                <w:rFonts w:ascii="Times New Roman" w:hAnsi="Times New Roman" w:eastAsia="Times New Roman"/>
                <w:sz w:val="20"/>
                <w:szCs w:val="20"/>
              </w:rPr>
              <w:t>85%</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电压范围</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0.6Un～1.5Un</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频率</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(50±2.5)Hz</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起动电流</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经互感器接入式：</w:t>
            </w:r>
            <w:r>
              <w:rPr>
                <w:rFonts w:ascii="Times New Roman" w:hAnsi="Times New Roman" w:eastAsia="Times New Roman"/>
                <w:sz w:val="20"/>
                <w:szCs w:val="20"/>
              </w:rPr>
              <w:t>0.002</w:t>
            </w:r>
            <w:r>
              <w:rPr>
                <w:rFonts w:ascii="宋体" w:hAnsi="宋体" w:eastAsia="宋体"/>
                <w:i w:val="true"/>
                <w:iCs w:val="true"/>
                <w:sz w:val="20"/>
                <w:szCs w:val="20"/>
              </w:rPr>
              <w:t>I</w:t>
            </w:r>
            <w:r>
              <w:rPr>
                <w:rFonts w:ascii="宋体" w:hAnsi="宋体" w:eastAsia="宋体"/>
                <w:i w:val="true"/>
                <w:iCs w:val="true"/>
                <w:sz w:val="19"/>
                <w:szCs w:val="19"/>
                <w:vertAlign w:val="subscript"/>
              </w:rPr>
              <w:t>n</w:t>
            </w:r>
            <w:r>
              <w:rPr>
                <w:rFonts w:ascii="宋体" w:hAnsi="宋体" w:eastAsia="宋体"/>
                <w:sz w:val="20"/>
                <w:szCs w:val="20"/>
              </w:rPr>
              <w:t>；直接接入式：</w:t>
            </w:r>
            <w:r>
              <w:rPr>
                <w:rFonts w:ascii="Times New Roman" w:hAnsi="Times New Roman" w:eastAsia="Times New Roman"/>
                <w:sz w:val="20"/>
                <w:szCs w:val="20"/>
              </w:rPr>
              <w:t>0.004</w:t>
            </w:r>
            <w:r>
              <w:rPr>
                <w:rFonts w:ascii="宋体" w:hAnsi="宋体" w:eastAsia="宋体"/>
                <w:i w:val="true"/>
                <w:iCs w:val="true"/>
                <w:sz w:val="20"/>
                <w:szCs w:val="20"/>
              </w:rPr>
              <w:t>I</w:t>
            </w:r>
            <w:r>
              <w:rPr>
                <w:rFonts w:ascii="宋体" w:hAnsi="宋体" w:eastAsia="宋体"/>
                <w:i w:val="true"/>
                <w:iCs w:val="true"/>
                <w:sz w:val="19"/>
                <w:szCs w:val="19"/>
                <w:vertAlign w:val="subscript"/>
              </w:rPr>
              <w:t>b</w:t>
            </w:r>
          </w:p>
        </w:tc>
      </w:tr>
      <w:tr>
        <w:trPr>
          <w:trHeight w:val="285" w:hRule="atLeast"/>
        </w:trPr>
        <w:tc>
          <w:tcPr>
            <w:tcW w:w="22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可靠性</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MTBF≥10年</w:t>
            </w:r>
          </w:p>
        </w:tc>
      </w:tr>
    </w:tbl>
    <w:p>
      <w:pPr>
        <w:numPr>
          <w:ilvl w:val="0"/>
          <w:numId w:val="41"/>
        </w:numPr>
        <w:spacing w:line="288" w:lineRule="auto"/>
        <w:ind w:hanging="420"/>
        <w:jc w:val="left"/>
        <w:rPr>
          <w:rFonts w:ascii="宋体" w:hAnsi="宋体" w:eastAsia="宋体"/>
          <w:sz w:val="21"/>
          <w:szCs w:val="21"/>
        </w:rPr>
      </w:pPr>
      <w:r>
        <w:rPr>
          <w:rFonts w:hint="eastAsia"/>
        </w:rPr>
      </w:r>
      <w:r>
        <w:rPr>
          <w:rFonts w:ascii="黑体" w:hAnsi="黑体" w:eastAsia="黑体"/>
          <w:sz w:val="21"/>
          <w:szCs w:val="21"/>
        </w:rPr>
        <w:t>时钟参数要求</w:t>
      </w:r>
    </w:p>
    <w:p>
      <w:pPr>
        <w:spacing w:before="156" w:after="156"/>
        <w:ind/>
        <w:jc w:val="center"/>
        <w:rPr>
          <w:rFonts w:ascii="宋体" w:hAnsi="宋体" w:eastAsia="宋体"/>
          <w:sz w:val="21"/>
          <w:szCs w:val="21"/>
        </w:rPr>
      </w:pPr>
      <w:r>
        <w:rPr>
          <w:rFonts w:ascii="黑体" w:hAnsi="黑体" w:eastAsia="黑体"/>
          <w:sz w:val="21"/>
          <w:szCs w:val="21"/>
        </w:rPr>
        <w:t xml:space="preserve">表 </w:t>
      </w:r>
      <w:r>
        <w:rPr>
          <w:rFonts w:ascii="黑体" w:hAnsi="黑体" w:eastAsia="黑体"/>
          <w:sz w:val="21"/>
          <w:szCs w:val="21"/>
        </w:rPr>
      </w:r>
      <w:r>
        <w:rPr>
          <w:rFonts w:ascii="黑体" w:hAnsi="黑体" w:eastAsia="黑体"/>
          <w:sz w:val="21"/>
          <w:szCs w:val="21"/>
        </w:rPr>
      </w:r>
      <w:r>
        <w:rPr>
          <w:rFonts w:ascii="黑体" w:hAnsi="黑体" w:eastAsia="黑体"/>
          <w:sz w:val="21"/>
          <w:szCs w:val="21"/>
        </w:rPr>
        <w:t>2</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2</w:t>
      </w:r>
      <w:r>
        <w:rPr>
          <w:rFonts w:ascii="黑体" w:hAnsi="黑体" w:eastAsia="黑体"/>
          <w:sz w:val="21"/>
          <w:szCs w:val="21"/>
        </w:rPr>
      </w:r>
      <w:r>
        <w:rPr>
          <w:rFonts w:ascii="黑体" w:hAnsi="黑体" w:eastAsia="黑体"/>
          <w:sz w:val="21"/>
          <w:szCs w:val="21"/>
        </w:rPr>
        <w:t>时钟参数</w:t>
      </w:r>
    </w:p>
    <w:tbl>
      <w:tblPr>
        <w:tblStyle w:val="a7"/>
        <w:tblW w:w="0" w:type="auto"/>
        <w:tblInd w:w="690"/>
        <w:tblLook w:firstRow="1" w:lastRow="0" w:firstColumn="1" w:lastColumn="0" w:noHBand="0" w:noVBand="1" w:val="04A0"/>
      </w:tblPr>
      <w:tblGrid>
        <w:gridCol w:w="2250"/>
        <w:gridCol w:w="4740"/>
      </w:tblGrid>
      <w:tr>
        <w:trPr/>
        <w:tc>
          <w:tcPr>
            <w:tcW w:w="225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时钟准确度（日误差）</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0.5</w:t>
            </w:r>
            <w:r>
              <w:rPr>
                <w:rFonts w:ascii="宋体" w:hAnsi="宋体" w:eastAsia="宋体"/>
                <w:sz w:val="20"/>
                <w:szCs w:val="20"/>
              </w:rPr>
              <w:t>s/d(参比温度23℃)</w:t>
            </w:r>
          </w:p>
          <w:p>
            <w:pPr>
              <w:spacing/>
              <w:ind/>
              <w:jc w:val="left"/>
              <w:rPr>
                <w:rFonts w:ascii="宋体" w:hAnsi="宋体" w:eastAsia="宋体"/>
                <w:sz w:val="20"/>
                <w:szCs w:val="20"/>
              </w:rPr>
            </w:pPr>
            <w:r>
              <w:rPr>
                <w:rFonts w:ascii="宋体" w:hAnsi="宋体" w:eastAsia="宋体"/>
                <w:sz w:val="20"/>
                <w:szCs w:val="20"/>
              </w:rPr>
              <w:t>≤±1s/d(-25℃～</w:t>
            </w:r>
            <w:r>
              <w:rPr>
                <w:rFonts w:ascii="Times New Roman" w:hAnsi="Times New Roman" w:eastAsia="Times New Roman"/>
                <w:sz w:val="20"/>
                <w:szCs w:val="20"/>
              </w:rPr>
              <w:t>+60</w:t>
            </w:r>
            <w:r>
              <w:rPr>
                <w:rFonts w:ascii="宋体" w:hAnsi="宋体" w:eastAsia="宋体"/>
                <w:sz w:val="20"/>
                <w:szCs w:val="20"/>
              </w:rPr>
              <w:t>℃)</w:t>
            </w:r>
          </w:p>
        </w:tc>
      </w:tr>
      <w:tr>
        <w:trPr/>
        <w:tc>
          <w:tcPr>
            <w:tcW w:w="225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电池寿命</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10年</w:t>
            </w:r>
          </w:p>
        </w:tc>
      </w:tr>
      <w:tr>
        <w:trPr/>
        <w:tc>
          <w:tcPr>
            <w:tcW w:w="225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电池连续工作时间</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5</w:t>
            </w:r>
            <w:r>
              <w:rPr>
                <w:rFonts w:ascii="宋体" w:hAnsi="宋体" w:eastAsia="宋体"/>
                <w:sz w:val="20"/>
                <w:szCs w:val="20"/>
              </w:rPr>
              <w:t>年</w:t>
            </w:r>
          </w:p>
        </w:tc>
      </w:tr>
      <w:tr>
        <w:trPr/>
        <w:tc>
          <w:tcPr>
            <w:tcW w:w="225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停电后数据保存时间</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w:t>
            </w:r>
            <w:r>
              <w:rPr>
                <w:rFonts w:ascii="Times New Roman" w:hAnsi="Times New Roman" w:eastAsia="Times New Roman"/>
                <w:sz w:val="20"/>
                <w:szCs w:val="20"/>
              </w:rPr>
              <w:t>10</w:t>
            </w:r>
            <w:r>
              <w:rPr>
                <w:rFonts w:ascii="宋体" w:hAnsi="宋体" w:eastAsia="宋体"/>
                <w:sz w:val="20"/>
                <w:szCs w:val="20"/>
              </w:rPr>
              <w:t>年</w:t>
            </w:r>
          </w:p>
        </w:tc>
      </w:tr>
      <w:tr>
        <w:trPr/>
        <w:tc>
          <w:tcPr>
            <w:tcW w:w="225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设计寿命</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10年</w:t>
            </w:r>
          </w:p>
        </w:tc>
      </w:tr>
    </w:tbl>
    <w:p>
      <w:pPr>
        <w:numPr>
          <w:ilvl w:val="0"/>
          <w:numId w:val="41"/>
        </w:numPr>
        <w:spacing w:line="288" w:lineRule="auto"/>
        <w:ind w:hanging="420"/>
        <w:jc w:val="left"/>
        <w:rPr>
          <w:rFonts w:ascii="宋体" w:hAnsi="宋体" w:eastAsia="宋体"/>
          <w:sz w:val="21"/>
          <w:szCs w:val="21"/>
        </w:rPr>
      </w:pPr>
      <w:r>
        <w:rPr>
          <w:rFonts w:hint="eastAsia"/>
        </w:rPr>
      </w:r>
      <w:r>
        <w:rPr>
          <w:rFonts w:ascii="黑体" w:hAnsi="黑体" w:eastAsia="黑体"/>
          <w:sz w:val="21"/>
          <w:szCs w:val="21"/>
        </w:rPr>
        <w:t>外型尺寸</w:t>
      </w:r>
    </w:p>
    <w:p>
      <w:pPr>
        <w:spacing w:before="156" w:after="156"/>
        <w:ind/>
        <w:jc w:val="center"/>
        <w:rPr>
          <w:rFonts w:ascii="宋体" w:hAnsi="宋体" w:eastAsia="宋体"/>
          <w:sz w:val="20"/>
          <w:szCs w:val="20"/>
        </w:rPr>
      </w:pPr>
      <w:r>
        <w:rPr>
          <w:rFonts w:ascii="黑体" w:hAnsi="黑体" w:eastAsia="黑体"/>
          <w:sz w:val="20"/>
          <w:szCs w:val="20"/>
        </w:rPr>
        <w:t xml:space="preserve">表 </w:t>
      </w:r>
      <w:r>
        <w:rPr>
          <w:rFonts w:ascii="黑体" w:hAnsi="黑体" w:eastAsia="黑体"/>
          <w:sz w:val="20"/>
          <w:szCs w:val="20"/>
        </w:rPr>
      </w:r>
      <w:r>
        <w:rPr>
          <w:rFonts w:ascii="黑体" w:hAnsi="黑体" w:eastAsia="黑体"/>
          <w:sz w:val="20"/>
          <w:szCs w:val="20"/>
        </w:rPr>
      </w:r>
      <w:r>
        <w:rPr>
          <w:rFonts w:ascii="黑体" w:hAnsi="黑体" w:eastAsia="黑体"/>
          <w:sz w:val="20"/>
          <w:szCs w:val="20"/>
        </w:rPr>
        <w:t>2</w:t>
      </w:r>
      <w:r>
        <w:rPr>
          <w:rFonts w:ascii="黑体" w:hAnsi="黑体" w:eastAsia="黑体"/>
          <w:sz w:val="20"/>
          <w:szCs w:val="20"/>
        </w:rPr>
      </w:r>
      <w:r>
        <w:rPr>
          <w:rFonts w:ascii="黑体" w:hAnsi="黑体" w:eastAsia="黑体"/>
          <w:sz w:val="20"/>
          <w:szCs w:val="20"/>
        </w:rPr>
        <w:t>.</w:t>
      </w:r>
      <w:r>
        <w:rPr>
          <w:rFonts w:ascii="黑体" w:hAnsi="黑体" w:eastAsia="黑体"/>
          <w:sz w:val="20"/>
          <w:szCs w:val="20"/>
        </w:rPr>
      </w:r>
      <w:r>
        <w:rPr>
          <w:rFonts w:ascii="黑体" w:hAnsi="黑体" w:eastAsia="黑体"/>
          <w:sz w:val="20"/>
          <w:szCs w:val="20"/>
        </w:rPr>
      </w:r>
      <w:r>
        <w:rPr>
          <w:rFonts w:ascii="黑体" w:hAnsi="黑体" w:eastAsia="黑体"/>
          <w:sz w:val="20"/>
          <w:szCs w:val="20"/>
        </w:rPr>
        <w:t>3</w:t>
      </w:r>
      <w:r>
        <w:rPr>
          <w:rFonts w:ascii="黑体" w:hAnsi="黑体" w:eastAsia="黑体"/>
          <w:sz w:val="20"/>
          <w:szCs w:val="20"/>
        </w:rPr>
      </w:r>
      <w:r>
        <w:rPr>
          <w:rFonts w:ascii="黑体" w:hAnsi="黑体" w:eastAsia="黑体"/>
          <w:sz w:val="20"/>
          <w:szCs w:val="20"/>
        </w:rPr>
        <w:t>外形尺寸</w:t>
      </w:r>
    </w:p>
    <w:tbl>
      <w:tblPr>
        <w:tblStyle w:val="a7"/>
        <w:tblW w:w="0" w:type="auto"/>
        <w:tblInd w:w="1980"/>
        <w:tblLook w:firstRow="1" w:lastRow="0" w:firstColumn="1" w:lastColumn="0" w:noHBand="0" w:noVBand="1" w:val="04A0"/>
      </w:tblPr>
      <w:tblGrid>
        <w:gridCol w:w="2265"/>
        <w:gridCol w:w="4380"/>
      </w:tblGrid>
      <w:tr>
        <w:trPr>
          <w:trHeight w:val="285" w:hRule="atLeast"/>
        </w:trPr>
        <w:tc>
          <w:tcPr>
            <w:tcW w:w="22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外形尺寸</w:t>
            </w:r>
          </w:p>
        </w:tc>
        <w:tc>
          <w:tcPr>
            <w:tcW w:w="4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24"/>
              <w:ind/>
              <w:jc w:val="left"/>
              <w:rPr>
                <w:rFonts w:ascii="宋体" w:hAnsi="宋体" w:eastAsia="宋体"/>
                <w:sz w:val="20"/>
                <w:szCs w:val="20"/>
              </w:rPr>
            </w:pPr>
            <w:r>
              <w:rPr>
                <w:rFonts w:ascii="宋体" w:hAnsi="宋体" w:eastAsia="宋体"/>
                <w:sz w:val="20"/>
                <w:szCs w:val="20"/>
              </w:rPr>
              <w:t>长×宽×厚</w:t>
            </w:r>
            <w:r>
              <w:rPr>
                <w:rFonts w:ascii="Times New Roman" w:hAnsi="Times New Roman" w:eastAsia="Times New Roman"/>
                <w:sz w:val="20"/>
                <w:szCs w:val="20"/>
              </w:rPr>
              <w:t>=290mm</w:t>
            </w:r>
            <w:r>
              <w:rPr>
                <w:rFonts w:ascii="宋体" w:hAnsi="宋体" w:eastAsia="宋体"/>
                <w:sz w:val="20"/>
                <w:szCs w:val="20"/>
              </w:rPr>
              <w:t>×170mm×85mm</w:t>
            </w:r>
          </w:p>
        </w:tc>
      </w:tr>
    </w:tbl>
    <w:p>
      <w:pPr>
        <w:pStyle w:val="heading1"/>
        <w:numPr>
          <w:ilvl w:val="0"/>
          <w:numId w:val="37"/>
        </w:numPr>
        <w:snapToGrid w:val="true"/>
        <w:spacing w:before="312" w:after="312"/>
        <w:ind w:firstLine="0"/>
        <w:jc w:val="both"/>
        <w:rPr>
          <w:rFonts w:ascii="宋体" w:hAnsi="宋体" w:eastAsia="宋体"/>
        </w:rPr>
      </w:pPr>
      <w:r>
        <w:rPr>
          <w:rFonts w:hint="eastAsia"/>
        </w:rPr>
      </w:r>
      <w:r>
        <w:rPr>
          <w:rFonts w:ascii="黑体" w:hAnsi="黑体" w:eastAsia="黑体"/>
        </w:rPr>
        <w:t>工作原理框图</w:t>
      </w:r>
    </w:p>
    <w:p>
      <w:pPr>
        <w:spacing/>
        <w:ind w:firstLineChars="200"/>
        <w:jc w:val="both"/>
        <w:rPr>
          <w:rFonts w:ascii="宋体" w:hAnsi="宋体" w:eastAsia="宋体"/>
          <w:sz w:val="21"/>
          <w:szCs w:val="21"/>
        </w:rPr>
      </w:pPr>
      <w:r>
        <w:rPr>
          <w:rFonts w:ascii="宋体" w:hAnsi="宋体" w:eastAsia="宋体"/>
          <w:sz w:val="21"/>
          <w:szCs w:val="21"/>
        </w:rPr>
        <w:t>智能电表工作时，电能表电压经电阻分压采样、电流经电流互感器采样，通过滤波处理后送入主芯片进行电量脉冲采集、电量累计和各项计算分析处理，完成有功、无功电能的计算处理，其结果保存在数据存储中；同时</w:t>
      </w:r>
      <w:r>
        <w:rPr>
          <w:rFonts w:ascii="Times New Roman" w:hAnsi="Times New Roman" w:eastAsia="Times New Roman"/>
          <w:sz w:val="21"/>
          <w:szCs w:val="21"/>
        </w:rPr>
        <w:t>CPU</w:t>
      </w:r>
      <w:r>
        <w:rPr>
          <w:rFonts w:ascii="宋体" w:hAnsi="宋体" w:eastAsia="宋体"/>
          <w:sz w:val="21"/>
          <w:szCs w:val="21"/>
        </w:rPr>
        <w:t>完成红外、</w:t>
      </w:r>
      <w:r>
        <w:rPr>
          <w:rFonts w:ascii="Times New Roman" w:hAnsi="Times New Roman" w:eastAsia="Times New Roman"/>
          <w:sz w:val="21"/>
          <w:szCs w:val="21"/>
        </w:rPr>
        <w:t>485</w:t>
      </w:r>
      <w:r>
        <w:rPr>
          <w:rFonts w:ascii="宋体" w:hAnsi="宋体" w:eastAsia="宋体"/>
          <w:sz w:val="21"/>
          <w:szCs w:val="21"/>
        </w:rPr>
        <w:t>通讯、</w:t>
      </w:r>
      <w:r>
        <w:rPr>
          <w:rFonts w:ascii="Times New Roman" w:hAnsi="Times New Roman" w:eastAsia="Times New Roman"/>
          <w:sz w:val="21"/>
          <w:szCs w:val="21"/>
        </w:rPr>
        <w:t>LCD</w:t>
      </w:r>
      <w:r>
        <w:rPr>
          <w:rFonts w:ascii="宋体" w:hAnsi="宋体" w:eastAsia="宋体"/>
          <w:sz w:val="21"/>
          <w:szCs w:val="21"/>
        </w:rPr>
        <w:t>显示等功能处理。电表带有硬时钟电路，保证时钟在标称温度下时钟日误差小于</w:t>
      </w:r>
      <w:r>
        <w:rPr>
          <w:rFonts w:ascii="Times New Roman" w:hAnsi="Times New Roman" w:eastAsia="Times New Roman"/>
          <w:sz w:val="21"/>
          <w:szCs w:val="21"/>
        </w:rPr>
        <w:t>0.5s/d</w:t>
      </w:r>
      <w:r>
        <w:rPr>
          <w:rFonts w:ascii="宋体" w:hAnsi="宋体" w:eastAsia="宋体"/>
          <w:sz w:val="21"/>
          <w:szCs w:val="21"/>
        </w:rPr>
        <w:t>。数据安全性上采用冗余设计，数据采用多重备份，确保计量数据可靠。</w:t>
      </w:r>
    </w:p>
    <w:p>
      <w:pPr>
        <w:spacing/>
        <w:ind/>
        <w:jc w:val="center"/>
        <w:rPr>
          <w:rFonts w:ascii="微软雅黑" w:hAnsi="微软雅黑" w:eastAsia="微软雅黑"/>
          <w:sz w:val="21"/>
          <w:szCs w:val="21"/>
        </w:rPr>
      </w:pPr>
      <w:r>
        <w:rPr>
          <w:rFonts w:ascii="宋体" w:hAnsi="宋体" w:eastAsia="宋体"/>
          <w:sz w:val="21"/>
          <w:szCs w:val="21"/>
        </w:rPr>
      </w:r>
    </w:p>
    <w:p>
      <w:pPr>
        <w:spacing w:before="156" w:after="156"/>
        <w:ind/>
        <w:jc w:val="center"/>
        <w:rPr>
          <w:rFonts w:ascii="宋体" w:hAnsi="宋体" w:eastAsia="宋体"/>
          <w:sz w:val="21"/>
          <w:szCs w:val="21"/>
        </w:rPr>
      </w:pPr>
      <w:r>
        <w:rPr>
          <w:rFonts w:ascii="黑体" w:hAnsi="黑体" w:eastAsia="黑体"/>
          <w:sz w:val="21"/>
          <w:szCs w:val="21"/>
        </w:rPr>
        <w:t xml:space="preserve">图 </w:t>
      </w:r>
      <w:r>
        <w:rPr>
          <w:rFonts w:ascii="黑体" w:hAnsi="黑体" w:eastAsia="黑体"/>
          <w:sz w:val="21"/>
          <w:szCs w:val="21"/>
        </w:rPr>
      </w:r>
      <w:r>
        <w:rPr>
          <w:rFonts w:ascii="黑体" w:hAnsi="黑体" w:eastAsia="黑体"/>
          <w:sz w:val="21"/>
          <w:szCs w:val="21"/>
        </w:rPr>
      </w:r>
      <w:r>
        <w:rPr>
          <w:rFonts w:ascii="黑体" w:hAnsi="黑体" w:eastAsia="黑体"/>
          <w:sz w:val="21"/>
          <w:szCs w:val="21"/>
        </w:rPr>
        <w:t>3</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1</w:t>
      </w:r>
      <w:r>
        <w:rPr>
          <w:rFonts w:ascii="黑体" w:hAnsi="黑体" w:eastAsia="黑体"/>
          <w:sz w:val="21"/>
          <w:szCs w:val="21"/>
        </w:rPr>
      </w:r>
      <w:r>
        <w:rPr>
          <w:rFonts w:ascii="黑体" w:hAnsi="黑体" w:eastAsia="黑体"/>
          <w:sz w:val="21"/>
          <w:szCs w:val="21"/>
        </w:rPr>
        <w:t>三相表系统工作原理示意图</w:t>
      </w:r>
    </w:p>
    <w:p>
      <w:pPr>
        <w:pStyle w:val="heading1"/>
        <w:numPr>
          <w:ilvl w:val="0"/>
          <w:numId w:val="37"/>
        </w:numPr>
        <w:snapToGrid w:val="true"/>
        <w:spacing w:before="312" w:after="312"/>
        <w:ind w:firstLine="0"/>
        <w:jc w:val="both"/>
        <w:rPr>
          <w:rFonts w:ascii="宋体" w:hAnsi="宋体" w:eastAsia="宋体"/>
        </w:rPr>
      </w:pPr>
      <w:r>
        <w:rPr>
          <w:rFonts w:hint="eastAsia"/>
        </w:rPr>
      </w:r>
      <w:r>
        <w:rPr>
          <w:rFonts w:ascii="黑体" w:hAnsi="黑体" w:eastAsia="黑体"/>
        </w:rPr>
        <w:t>功能特点</w:t>
      </w:r>
    </w:p>
    <w:p>
      <w:pPr>
        <w:numPr>
          <w:ilvl w:val="1"/>
          <w:numId w:val="37"/>
        </w:numPr>
        <w:spacing w:before="156" w:after="156"/>
        <w:ind w:firstLine="0"/>
        <w:jc w:val="both"/>
        <w:rPr>
          <w:rFonts w:ascii="黑体" w:hAnsi="黑体" w:eastAsia="黑体"/>
          <w:sz w:val="21"/>
          <w:szCs w:val="21"/>
        </w:rPr>
      </w:pPr>
      <w:r>
        <w:rPr>
          <w:rFonts w:hint="eastAsia"/>
        </w:rPr>
      </w:r>
      <w:r>
        <w:rPr>
          <w:rFonts w:ascii="黑体" w:hAnsi="黑体" w:eastAsia="黑体"/>
          <w:sz w:val="21"/>
          <w:szCs w:val="21"/>
        </w:rPr>
        <w:t>计量功能</w:t>
      </w:r>
    </w:p>
    <w:p>
      <w:pPr>
        <w:numPr>
          <w:ilvl w:val="2"/>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电量计量</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具有正、反向有功电能计量功能，并可以据此设置组合有功电能。</w:t>
      </w:r>
      <w:r>
        <w:rPr>
          <w:rFonts w:hint="eastAsia"/>
        </w:rPr>
      </w:r>
      <w:r>
        <w:rPr>
          <w:rFonts w:ascii="Times New Roman" w:hAnsi="Times New Roman" w:eastAsia="Times New Roman"/>
          <w:sz w:val="21"/>
          <w:szCs w:val="21"/>
        </w:rPr>
        <w:t xml:space="preserve"> </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能够计量四象限无功电能，并可以据此设置组合无功</w:t>
      </w:r>
      <w:r>
        <w:rPr>
          <w:rFonts w:hint="eastAsia"/>
        </w:rPr>
      </w:r>
      <w:r>
        <w:rPr>
          <w:rFonts w:ascii="Times New Roman" w:hAnsi="Times New Roman" w:eastAsia="Times New Roman"/>
          <w:sz w:val="21"/>
          <w:szCs w:val="21"/>
        </w:rPr>
        <w:t>1</w:t>
      </w:r>
      <w:r>
        <w:rPr>
          <w:rFonts w:hint="eastAsia"/>
        </w:rPr>
      </w:r>
      <w:r>
        <w:rPr>
          <w:rFonts w:ascii="宋体" w:hAnsi="宋体" w:eastAsia="宋体"/>
          <w:sz w:val="21"/>
          <w:szCs w:val="21"/>
        </w:rPr>
        <w:t>、组合无功</w:t>
      </w:r>
      <w:r>
        <w:rPr>
          <w:rFonts w:hint="eastAsia"/>
        </w:rPr>
      </w:r>
      <w:r>
        <w:rPr>
          <w:rFonts w:ascii="Times New Roman" w:hAnsi="Times New Roman" w:eastAsia="Times New Roman"/>
          <w:sz w:val="21"/>
          <w:szCs w:val="21"/>
        </w:rPr>
        <w:t>2</w:t>
      </w:r>
      <w:r>
        <w:rPr>
          <w:rFonts w:hint="eastAsia"/>
        </w:rPr>
      </w:r>
      <w:r>
        <w:rPr>
          <w:rFonts w:ascii="宋体" w:hAnsi="宋体" w:eastAsia="宋体"/>
          <w:sz w:val="21"/>
          <w:szCs w:val="21"/>
        </w:rPr>
        <w:t>电能。</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具有分时计量功能，有功电能量应对尖、峰、平、谷等各时段电能量及总电能量分别进行存储。</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能存储上</w:t>
      </w:r>
      <w:r>
        <w:rPr>
          <w:rFonts w:hint="eastAsia"/>
        </w:rPr>
      </w:r>
      <w:r>
        <w:rPr>
          <w:rFonts w:ascii="Times New Roman" w:hAnsi="Times New Roman" w:eastAsia="Times New Roman"/>
          <w:sz w:val="21"/>
          <w:szCs w:val="21"/>
        </w:rPr>
        <w:t>12</w:t>
      </w:r>
      <w:r>
        <w:rPr>
          <w:rFonts w:hint="eastAsia"/>
        </w:rPr>
      </w:r>
      <w:r>
        <w:rPr>
          <w:rFonts w:ascii="宋体" w:hAnsi="宋体" w:eastAsia="宋体"/>
          <w:sz w:val="21"/>
          <w:szCs w:val="21"/>
        </w:rPr>
        <w:t>个结算日的单向总电能和各费率电能数据，电表每月最多支持</w:t>
      </w:r>
      <w:r>
        <w:rPr>
          <w:rFonts w:hint="eastAsia"/>
        </w:rPr>
      </w:r>
      <w:r>
        <w:rPr>
          <w:rFonts w:ascii="Times New Roman" w:hAnsi="Times New Roman" w:eastAsia="Times New Roman"/>
          <w:sz w:val="21"/>
          <w:szCs w:val="21"/>
        </w:rPr>
        <w:t>3</w:t>
      </w:r>
      <w:r>
        <w:rPr>
          <w:rFonts w:hint="eastAsia"/>
        </w:rPr>
      </w:r>
      <w:r>
        <w:rPr>
          <w:rFonts w:ascii="宋体" w:hAnsi="宋体" w:eastAsia="宋体"/>
          <w:sz w:val="21"/>
          <w:szCs w:val="21"/>
        </w:rPr>
        <w:t>个结算日，设置时</w:t>
      </w:r>
      <w:r>
        <w:rPr>
          <w:rFonts w:hint="eastAsia"/>
        </w:rPr>
      </w:r>
      <w:r>
        <w:rPr>
          <w:rFonts w:ascii="Times New Roman" w:hAnsi="Times New Roman" w:eastAsia="Times New Roman"/>
          <w:sz w:val="21"/>
          <w:szCs w:val="21"/>
        </w:rPr>
        <w:t>3</w:t>
      </w:r>
      <w:r>
        <w:rPr>
          <w:rFonts w:hint="eastAsia"/>
        </w:rPr>
      </w:r>
      <w:r>
        <w:rPr>
          <w:rFonts w:ascii="宋体" w:hAnsi="宋体" w:eastAsia="宋体"/>
          <w:sz w:val="21"/>
          <w:szCs w:val="21"/>
        </w:rPr>
        <w:t>个结算日按从小到大顺序设置。</w:t>
      </w:r>
    </w:p>
    <w:p>
      <w:pPr>
        <w:numPr>
          <w:ilvl w:val="2"/>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电量冻结</w:t>
      </w:r>
    </w:p>
    <w:p>
      <w:pPr>
        <w:numPr>
          <w:ilvl w:val="0"/>
          <w:numId w:val="42"/>
        </w:numPr>
        <w:spacing/>
        <w:ind w:left="839" w:hanging="419"/>
        <w:jc w:val="both"/>
        <w:rPr>
          <w:rFonts w:ascii="宋体" w:hAnsi="宋体" w:eastAsia="宋体"/>
          <w:sz w:val="21"/>
          <w:szCs w:val="21"/>
        </w:rPr>
      </w:pPr>
      <w:r>
        <w:rPr>
          <w:rFonts w:hint="eastAsia"/>
        </w:rPr>
      </w:r>
      <w:r>
        <w:rPr>
          <w:rFonts w:ascii="宋体" w:hAnsi="宋体" w:eastAsia="宋体"/>
          <w:sz w:val="21"/>
          <w:szCs w:val="21"/>
        </w:rPr>
        <w:t>定时冻结：按照约定的时间及间隔冻结电能量数据，每个冻结量应至少保存</w:t>
      </w:r>
      <w:r>
        <w:rPr>
          <w:rFonts w:hint="eastAsia"/>
        </w:rPr>
      </w:r>
      <w:r>
        <w:rPr>
          <w:rFonts w:ascii="Times New Roman" w:hAnsi="Times New Roman" w:eastAsia="Times New Roman"/>
          <w:sz w:val="21"/>
          <w:szCs w:val="21"/>
        </w:rPr>
        <w:t>60</w:t>
      </w:r>
      <w:r>
        <w:rPr>
          <w:rFonts w:hint="eastAsia"/>
        </w:rPr>
      </w:r>
      <w:r>
        <w:rPr>
          <w:rFonts w:ascii="宋体" w:hAnsi="宋体" w:eastAsia="宋体"/>
          <w:sz w:val="21"/>
          <w:szCs w:val="21"/>
        </w:rPr>
        <w:t>次。</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瞬时冻结：在非正常情况下，冻结当前的日历、时间、所有电能量和重要测量量的数据；瞬时冻结量保存最后</w:t>
      </w:r>
      <w:r>
        <w:rPr>
          <w:rFonts w:hint="eastAsia"/>
        </w:rPr>
      </w:r>
      <w:r>
        <w:rPr>
          <w:rFonts w:ascii="Times New Roman" w:hAnsi="Times New Roman" w:eastAsia="Times New Roman"/>
          <w:sz w:val="21"/>
          <w:szCs w:val="21"/>
        </w:rPr>
        <w:t>3</w:t>
      </w:r>
      <w:r>
        <w:rPr>
          <w:rFonts w:hint="eastAsia"/>
        </w:rPr>
      </w:r>
      <w:r>
        <w:rPr>
          <w:rFonts w:ascii="宋体" w:hAnsi="宋体" w:eastAsia="宋体"/>
          <w:sz w:val="21"/>
          <w:szCs w:val="21"/>
        </w:rPr>
        <w:t>次的数据。</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约定冻结：在新老两种费率</w:t>
      </w:r>
      <w:r>
        <w:rPr>
          <w:rFonts w:hint="eastAsia"/>
        </w:rPr>
      </w:r>
      <w:r>
        <w:rPr>
          <w:rFonts w:ascii="Times New Roman" w:hAnsi="Times New Roman" w:eastAsia="Times New Roman"/>
          <w:sz w:val="21"/>
          <w:szCs w:val="21"/>
        </w:rPr>
        <w:t>/</w:t>
      </w:r>
      <w:r>
        <w:rPr>
          <w:rFonts w:hint="eastAsia"/>
        </w:rPr>
      </w:r>
      <w:r>
        <w:rPr>
          <w:rFonts w:ascii="宋体" w:hAnsi="宋体" w:eastAsia="宋体"/>
          <w:sz w:val="21"/>
          <w:szCs w:val="21"/>
        </w:rPr>
        <w:t>时段转换、阶梯电价转换或电力公司认为有特殊要求时，冻结约定时刻的电量以及其他重要数据。</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日冻结：存储每天零点时刻的电能量，应可存储</w:t>
      </w:r>
      <w:r>
        <w:rPr>
          <w:rFonts w:hint="eastAsia"/>
        </w:rPr>
      </w:r>
      <w:r>
        <w:rPr>
          <w:rFonts w:ascii="Times New Roman" w:hAnsi="Times New Roman" w:eastAsia="Times New Roman"/>
          <w:sz w:val="21"/>
          <w:szCs w:val="21"/>
        </w:rPr>
        <w:t>62</w:t>
      </w:r>
      <w:r>
        <w:rPr>
          <w:rFonts w:hint="eastAsia"/>
        </w:rPr>
      </w:r>
      <w:r>
        <w:rPr>
          <w:rFonts w:ascii="宋体" w:hAnsi="宋体" w:eastAsia="宋体"/>
          <w:sz w:val="21"/>
          <w:szCs w:val="21"/>
        </w:rPr>
        <w:t>天的数据。</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整点冻结：存储整点时刻或半点时刻的有功总电能，应可存储</w:t>
      </w:r>
      <w:r>
        <w:rPr>
          <w:rFonts w:hint="eastAsia"/>
        </w:rPr>
      </w:r>
      <w:r>
        <w:rPr>
          <w:rFonts w:ascii="Times New Roman" w:hAnsi="Times New Roman" w:eastAsia="Times New Roman"/>
          <w:sz w:val="21"/>
          <w:szCs w:val="21"/>
        </w:rPr>
        <w:t>254</w:t>
      </w:r>
      <w:r>
        <w:rPr>
          <w:rFonts w:hint="eastAsia"/>
        </w:rPr>
      </w:r>
      <w:r>
        <w:rPr>
          <w:rFonts w:ascii="宋体" w:hAnsi="宋体" w:eastAsia="宋体"/>
          <w:sz w:val="21"/>
          <w:szCs w:val="21"/>
        </w:rPr>
        <w:t>个数据。</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冻结内容及对应的数据标识均符合</w:t>
      </w:r>
      <w:r>
        <w:rPr>
          <w:rFonts w:hint="eastAsia"/>
        </w:rPr>
      </w:r>
      <w:r>
        <w:rPr>
          <w:rFonts w:ascii="Times New Roman" w:hAnsi="Times New Roman" w:eastAsia="Times New Roman"/>
          <w:sz w:val="21"/>
          <w:szCs w:val="21"/>
        </w:rPr>
        <w:t>DL/T 645</w:t>
      </w:r>
      <w:r>
        <w:rPr>
          <w:rFonts w:hint="eastAsia"/>
        </w:rPr>
      </w:r>
      <w:r>
        <w:rPr>
          <w:rFonts w:ascii="宋体" w:hAnsi="宋体" w:eastAsia="宋体"/>
          <w:sz w:val="21"/>
          <w:szCs w:val="21"/>
        </w:rPr>
        <w:t>—</w:t>
      </w:r>
      <w:r>
        <w:rPr>
          <w:rFonts w:hint="eastAsia"/>
        </w:rPr>
      </w:r>
      <w:r>
        <w:rPr>
          <w:rFonts w:ascii="Times New Roman" w:hAnsi="Times New Roman" w:eastAsia="Times New Roman"/>
          <w:sz w:val="21"/>
          <w:szCs w:val="21"/>
        </w:rPr>
        <w:t>2007</w:t>
      </w:r>
      <w:r>
        <w:rPr>
          <w:rFonts w:hint="eastAsia"/>
        </w:rPr>
      </w:r>
      <w:r>
        <w:rPr>
          <w:rFonts w:ascii="宋体" w:hAnsi="宋体" w:eastAsia="宋体"/>
          <w:sz w:val="21"/>
          <w:szCs w:val="21"/>
        </w:rPr>
        <w:t>及其备案文件要求，冻结电量可通过</w:t>
      </w:r>
      <w:r>
        <w:rPr>
          <w:rFonts w:hint="eastAsia"/>
        </w:rPr>
      </w:r>
      <w:r>
        <w:rPr>
          <w:rFonts w:ascii="Times New Roman" w:hAnsi="Times New Roman" w:eastAsia="Times New Roman"/>
          <w:sz w:val="21"/>
          <w:szCs w:val="21"/>
        </w:rPr>
        <w:t>485</w:t>
      </w:r>
      <w:r>
        <w:rPr>
          <w:rFonts w:hint="eastAsia"/>
        </w:rPr>
      </w:r>
      <w:r>
        <w:rPr>
          <w:rFonts w:ascii="宋体" w:hAnsi="宋体" w:eastAsia="宋体"/>
          <w:sz w:val="21"/>
          <w:szCs w:val="21"/>
        </w:rPr>
        <w:t>或者红外通信接口抄出，</w:t>
      </w:r>
      <w:r>
        <w:rPr>
          <w:rFonts w:hint="eastAsia"/>
        </w:rPr>
      </w:r>
      <w:r>
        <w:rPr>
          <w:rFonts w:ascii="Times New Roman" w:hAnsi="Times New Roman" w:eastAsia="Times New Roman"/>
          <w:sz w:val="21"/>
          <w:szCs w:val="21"/>
        </w:rPr>
        <w:t xml:space="preserve"> </w:t>
      </w:r>
      <w:r>
        <w:rPr>
          <w:rFonts w:hint="eastAsia"/>
        </w:rPr>
      </w:r>
      <w:r>
        <w:rPr>
          <w:rFonts w:ascii="宋体" w:hAnsi="宋体" w:eastAsia="宋体"/>
          <w:sz w:val="21"/>
          <w:szCs w:val="21"/>
        </w:rPr>
        <w:t>便于进行用电量分析和线损统计。</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结算日冻结：电能表应支持设置每月最多</w:t>
      </w:r>
      <w:r>
        <w:rPr>
          <w:rFonts w:hint="eastAsia"/>
        </w:rPr>
      </w:r>
      <w:r>
        <w:rPr>
          <w:rFonts w:ascii="Times New Roman" w:hAnsi="Times New Roman" w:eastAsia="Times New Roman"/>
          <w:sz w:val="21"/>
          <w:szCs w:val="21"/>
        </w:rPr>
        <w:t>3</w:t>
      </w:r>
      <w:r>
        <w:rPr>
          <w:rFonts w:hint="eastAsia"/>
        </w:rPr>
      </w:r>
      <w:r>
        <w:rPr>
          <w:rFonts w:ascii="宋体" w:hAnsi="宋体" w:eastAsia="宋体"/>
          <w:sz w:val="21"/>
          <w:szCs w:val="21"/>
        </w:rPr>
        <w:t>个结算日，应可存储</w:t>
      </w:r>
      <w:r>
        <w:rPr>
          <w:rFonts w:hint="eastAsia"/>
        </w:rPr>
      </w:r>
      <w:r>
        <w:rPr>
          <w:rFonts w:ascii="Times New Roman" w:hAnsi="Times New Roman" w:eastAsia="Times New Roman"/>
          <w:sz w:val="21"/>
          <w:szCs w:val="21"/>
        </w:rPr>
        <w:t>12</w:t>
      </w:r>
      <w:r>
        <w:rPr>
          <w:rFonts w:hint="eastAsia"/>
        </w:rPr>
      </w:r>
      <w:r>
        <w:rPr>
          <w:rFonts w:ascii="宋体" w:hAnsi="宋体" w:eastAsia="宋体"/>
          <w:sz w:val="21"/>
          <w:szCs w:val="21"/>
        </w:rPr>
        <w:t>次月冻结数据。</w:t>
      </w:r>
    </w:p>
    <w:p>
      <w:pPr>
        <w:numPr>
          <w:ilvl w:val="2"/>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清零</w:t>
      </w:r>
    </w:p>
    <w:p>
      <w:pPr>
        <w:spacing w:after="93"/>
        <w:ind w:firstLine="420"/>
        <w:jc w:val="both"/>
        <w:rPr>
          <w:rFonts w:ascii="宋体" w:hAnsi="宋体" w:eastAsia="宋体"/>
          <w:sz w:val="21"/>
          <w:szCs w:val="21"/>
        </w:rPr>
      </w:pPr>
      <w:r>
        <w:rPr>
          <w:rFonts w:ascii="宋体" w:hAnsi="宋体" w:eastAsia="宋体"/>
          <w:sz w:val="21"/>
          <w:szCs w:val="21"/>
        </w:rPr>
        <w:t>电能表只有在被授权及通过安全验证的情况下能进行电量清零操作，清除电表内部存储的电能量、冻结量、事件记录等数据。永久记录电能表清零事件的发生时刻及清零时的电能量数据。</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时钟</w:t>
      </w:r>
    </w:p>
    <w:p>
      <w:pPr>
        <w:numPr>
          <w:ilvl w:val="0"/>
          <w:numId w:val="33"/>
        </w:numPr>
        <w:spacing/>
        <w:ind w:left="839" w:hanging="419"/>
        <w:jc w:val="both"/>
        <w:rPr>
          <w:rFonts w:ascii="宋体" w:hAnsi="宋体" w:eastAsia="宋体"/>
          <w:sz w:val="21"/>
          <w:szCs w:val="21"/>
        </w:rPr>
      </w:pPr>
      <w:r>
        <w:rPr>
          <w:rFonts w:hint="eastAsia"/>
        </w:rPr>
      </w:r>
      <w:r>
        <w:rPr>
          <w:rFonts w:ascii="宋体" w:hAnsi="宋体" w:eastAsia="宋体"/>
          <w:sz w:val="21"/>
          <w:szCs w:val="21"/>
        </w:rPr>
        <w:t>内置硬件时钟电路具有日历、计时、闰年自动转换功能。内部时钟端子输出频率为</w:t>
      </w:r>
      <w:r>
        <w:rPr>
          <w:rFonts w:hint="eastAsia"/>
        </w:rPr>
      </w:r>
      <w:r>
        <w:rPr>
          <w:rFonts w:ascii="Times New Roman" w:hAnsi="Times New Roman" w:eastAsia="Times New Roman"/>
          <w:sz w:val="21"/>
          <w:szCs w:val="21"/>
        </w:rPr>
        <w:t>1Hz</w:t>
      </w:r>
      <w:r>
        <w:rPr>
          <w:rFonts w:hint="eastAsia"/>
        </w:rPr>
      </w:r>
      <w:r>
        <w:rPr>
          <w:rFonts w:ascii="宋体" w:hAnsi="宋体" w:eastAsia="宋体"/>
          <w:sz w:val="21"/>
          <w:szCs w:val="21"/>
        </w:rPr>
        <w:t>。</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可通过</w:t>
      </w:r>
      <w:r>
        <w:rPr>
          <w:rFonts w:hint="eastAsia"/>
        </w:rPr>
      </w:r>
      <w:r>
        <w:rPr>
          <w:rFonts w:ascii="Times New Roman" w:hAnsi="Times New Roman" w:eastAsia="Times New Roman"/>
          <w:sz w:val="21"/>
          <w:szCs w:val="21"/>
        </w:rPr>
        <w:t>RS485</w:t>
      </w:r>
      <w:r>
        <w:rPr>
          <w:rFonts w:hint="eastAsia"/>
        </w:rPr>
      </w:r>
      <w:r>
        <w:rPr>
          <w:rFonts w:ascii="宋体" w:hAnsi="宋体" w:eastAsia="宋体"/>
          <w:sz w:val="21"/>
          <w:szCs w:val="21"/>
        </w:rPr>
        <w:t>、红外等通信接口对电能表校时，日期和时间的设置必须有防止非授权人操作的安全措施，除广播校时外，校时必须使用密文进行。</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时钟电池采用绿色环保锂电池，在电能表寿命周期内无需更换，断电后可维持内部时钟正确工作时间累计不少于</w:t>
      </w:r>
      <w:r>
        <w:rPr>
          <w:rFonts w:hint="eastAsia"/>
        </w:rPr>
      </w:r>
      <w:r>
        <w:rPr>
          <w:rFonts w:ascii="Times New Roman" w:hAnsi="Times New Roman" w:eastAsia="Times New Roman"/>
          <w:sz w:val="21"/>
          <w:szCs w:val="21"/>
        </w:rPr>
        <w:t>5</w:t>
      </w:r>
      <w:r>
        <w:rPr>
          <w:rFonts w:hint="eastAsia"/>
        </w:rPr>
      </w:r>
      <w:r>
        <w:rPr>
          <w:rFonts w:ascii="宋体" w:hAnsi="宋体" w:eastAsia="宋体"/>
          <w:sz w:val="21"/>
          <w:szCs w:val="21"/>
        </w:rPr>
        <w:t>年。</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安全认证</w:t>
      </w:r>
    </w:p>
    <w:p>
      <w:pPr>
        <w:spacing w:before="24" w:line="380" w:lineRule="exact"/>
        <w:ind w:firstLineChars="200"/>
        <w:jc w:val="both"/>
        <w:rPr>
          <w:rFonts w:ascii="宋体" w:hAnsi="宋体" w:eastAsia="宋体"/>
          <w:sz w:val="21"/>
          <w:szCs w:val="21"/>
        </w:rPr>
      </w:pPr>
      <w:r>
        <w:rPr>
          <w:rFonts w:ascii="宋体" w:hAnsi="宋体" w:eastAsia="宋体"/>
          <w:sz w:val="21"/>
          <w:szCs w:val="21"/>
        </w:rPr>
        <w:t>通过固态介质或虚拟介质对电能表进行参数设置、预存电费、信息返写和下发远程控制命令操作时，需通过</w:t>
      </w:r>
      <w:r>
        <w:rPr>
          <w:rFonts w:ascii="Times New Roman" w:hAnsi="Times New Roman" w:eastAsia="Times New Roman"/>
          <w:sz w:val="21"/>
          <w:szCs w:val="21"/>
        </w:rPr>
        <w:t>ESAM</w:t>
      </w:r>
      <w:r>
        <w:rPr>
          <w:rFonts w:ascii="宋体" w:hAnsi="宋体" w:eastAsia="宋体"/>
          <w:sz w:val="21"/>
          <w:szCs w:val="21"/>
        </w:rPr>
        <w:t>模块的安全认证，以确保数据传输安全可靠</w:t>
      </w:r>
      <w:r>
        <w:rPr>
          <w:rFonts w:ascii="宋体" w:hAnsi="宋体" w:eastAsia="宋体"/>
          <w:color w:val="000000"/>
          <w:sz w:val="21"/>
          <w:szCs w:val="21"/>
        </w:rPr>
        <w:t>。</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电力参数测量及监测</w:t>
      </w:r>
    </w:p>
    <w:p>
      <w:pPr>
        <w:spacing w:before="24" w:line="380" w:lineRule="exact"/>
        <w:ind w:firstLineChars="200"/>
        <w:jc w:val="both"/>
        <w:rPr>
          <w:rFonts w:ascii="宋体" w:hAnsi="宋体" w:eastAsia="宋体"/>
          <w:sz w:val="21"/>
          <w:szCs w:val="21"/>
        </w:rPr>
      </w:pPr>
      <w:r>
        <w:rPr>
          <w:rFonts w:ascii="宋体" w:hAnsi="宋体" w:eastAsia="宋体"/>
          <w:color w:val="000000"/>
          <w:sz w:val="21"/>
          <w:szCs w:val="21"/>
        </w:rPr>
        <w:t>可测量、记录、显示当前电压、电流（包括零线电流）、有功功率、功率因数等运行参数。测量误差（引用误差）不超过±</w:t>
      </w:r>
      <w:r>
        <w:rPr>
          <w:rFonts w:ascii="Times New Roman" w:hAnsi="Times New Roman" w:eastAsia="Times New Roman"/>
          <w:color w:val="000000"/>
          <w:sz w:val="21"/>
          <w:szCs w:val="21"/>
        </w:rPr>
        <w:t>1</w:t>
      </w:r>
      <w:r>
        <w:rPr>
          <w:rFonts w:ascii="宋体" w:hAnsi="宋体" w:eastAsia="宋体"/>
          <w:color w:val="000000"/>
          <w:sz w:val="21"/>
          <w:szCs w:val="21"/>
        </w:rPr>
        <w:t>％。</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事件记录</w:t>
      </w:r>
    </w:p>
    <w:p>
      <w:pPr>
        <w:spacing w:before="24" w:line="380" w:lineRule="exact"/>
        <w:ind w:firstLineChars="200"/>
        <w:jc w:val="both"/>
        <w:rPr>
          <w:rFonts w:ascii="宋体" w:hAnsi="宋体" w:eastAsia="宋体"/>
          <w:sz w:val="21"/>
          <w:szCs w:val="21"/>
        </w:rPr>
      </w:pPr>
      <w:r>
        <w:rPr>
          <w:rFonts w:ascii="宋体" w:hAnsi="宋体" w:eastAsia="宋体"/>
          <w:color w:val="000000"/>
          <w:sz w:val="21"/>
          <w:szCs w:val="21"/>
        </w:rPr>
        <w:t>电量的事件记录功能可以记录对电表的编程和清零操作以及电表运行状态，具体分为以下几种情况：</w:t>
      </w:r>
    </w:p>
    <w:p>
      <w:pPr>
        <w:numPr>
          <w:ilvl w:val="0"/>
          <w:numId w:val="34"/>
        </w:numPr>
        <w:spacing/>
        <w:ind w:left="839" w:hanging="419"/>
        <w:jc w:val="both"/>
        <w:rPr>
          <w:rFonts w:ascii="宋体" w:hAnsi="宋体" w:eastAsia="宋体"/>
          <w:sz w:val="21"/>
          <w:szCs w:val="21"/>
        </w:rPr>
      </w:pPr>
      <w:r>
        <w:rPr>
          <w:rFonts w:hint="eastAsia"/>
        </w:rPr>
      </w:r>
      <w:r>
        <w:rPr>
          <w:rFonts w:ascii="宋体" w:hAnsi="宋体" w:eastAsia="宋体"/>
          <w:sz w:val="21"/>
          <w:szCs w:val="21"/>
        </w:rPr>
        <w:t>校时记录：能记录校时总次数、最近</w:t>
      </w:r>
      <w:r>
        <w:rPr>
          <w:rFonts w:hint="eastAsia"/>
        </w:rPr>
      </w:r>
      <w:r>
        <w:rPr>
          <w:rFonts w:ascii="Times New Roman" w:hAnsi="Times New Roman" w:eastAsia="Times New Roman"/>
          <w:sz w:val="21"/>
          <w:szCs w:val="21"/>
        </w:rPr>
        <w:t>10</w:t>
      </w:r>
      <w:r>
        <w:rPr>
          <w:rFonts w:hint="eastAsia"/>
        </w:rPr>
      </w:r>
      <w:r>
        <w:rPr>
          <w:rFonts w:ascii="宋体" w:hAnsi="宋体" w:eastAsia="宋体"/>
          <w:sz w:val="21"/>
          <w:szCs w:val="21"/>
        </w:rPr>
        <w:t>次校时事件的操作者代码、校时前时间、校时后时间。</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掉电记录：电能表记录掉电总次数，最近</w:t>
      </w:r>
      <w:r>
        <w:rPr>
          <w:rFonts w:hint="eastAsia"/>
        </w:rPr>
      </w:r>
      <w:r>
        <w:rPr>
          <w:rFonts w:ascii="Times New Roman" w:hAnsi="Times New Roman" w:eastAsia="Times New Roman"/>
          <w:sz w:val="21"/>
          <w:szCs w:val="21"/>
        </w:rPr>
        <w:t>10</w:t>
      </w:r>
      <w:r>
        <w:rPr>
          <w:rFonts w:hint="eastAsia"/>
        </w:rPr>
      </w:r>
      <w:r>
        <w:rPr>
          <w:rFonts w:ascii="宋体" w:hAnsi="宋体" w:eastAsia="宋体"/>
          <w:sz w:val="21"/>
          <w:szCs w:val="21"/>
        </w:rPr>
        <w:t>次掉电事件发生时间和结束时间。</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开上盖记录：应能记录开表盖总次数，最近</w:t>
      </w:r>
      <w:r>
        <w:rPr>
          <w:rFonts w:hint="eastAsia"/>
        </w:rPr>
      </w:r>
      <w:r>
        <w:rPr>
          <w:rFonts w:ascii="Times New Roman" w:hAnsi="Times New Roman" w:eastAsia="Times New Roman"/>
          <w:sz w:val="21"/>
          <w:szCs w:val="21"/>
        </w:rPr>
        <w:t>10</w:t>
      </w:r>
      <w:r>
        <w:rPr>
          <w:rFonts w:hint="eastAsia"/>
        </w:rPr>
      </w:r>
      <w:r>
        <w:rPr>
          <w:rFonts w:ascii="宋体" w:hAnsi="宋体" w:eastAsia="宋体"/>
          <w:sz w:val="21"/>
          <w:szCs w:val="21"/>
        </w:rPr>
        <w:t>次开表盖事件的发生、结束时刻以及开表盖发生时刻的电能量数据，停电期间，电能表只记最早的一次开表盖事件。</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拉合闸记录：电能表能记录拉合闸总次数，最近</w:t>
      </w:r>
      <w:r>
        <w:rPr>
          <w:rFonts w:hint="eastAsia"/>
        </w:rPr>
      </w:r>
      <w:r>
        <w:rPr>
          <w:rFonts w:ascii="Times New Roman" w:hAnsi="Times New Roman" w:eastAsia="Times New Roman"/>
          <w:sz w:val="21"/>
          <w:szCs w:val="21"/>
        </w:rPr>
        <w:t>10</w:t>
      </w:r>
      <w:r>
        <w:rPr>
          <w:rFonts w:hint="eastAsia"/>
        </w:rPr>
      </w:r>
      <w:r>
        <w:rPr>
          <w:rFonts w:ascii="宋体" w:hAnsi="宋体" w:eastAsia="宋体"/>
          <w:sz w:val="21"/>
          <w:szCs w:val="21"/>
        </w:rPr>
        <w:t>次拉闸、合闸时间的发生时刻和电能量数据。</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清零记录：电能表永久记录清零总次数，最近</w:t>
      </w:r>
      <w:r>
        <w:rPr>
          <w:rFonts w:hint="eastAsia"/>
        </w:rPr>
      </w:r>
      <w:r>
        <w:rPr>
          <w:rFonts w:ascii="Times New Roman" w:hAnsi="Times New Roman" w:eastAsia="Times New Roman"/>
          <w:sz w:val="21"/>
          <w:szCs w:val="21"/>
        </w:rPr>
        <w:t>10</w:t>
      </w:r>
      <w:r>
        <w:rPr>
          <w:rFonts w:hint="eastAsia"/>
        </w:rPr>
      </w:r>
      <w:r>
        <w:rPr>
          <w:rFonts w:ascii="宋体" w:hAnsi="宋体" w:eastAsia="宋体"/>
          <w:sz w:val="21"/>
          <w:szCs w:val="21"/>
        </w:rPr>
        <w:t>次电表清零事件发生的时刻和清零时的电能量。</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广播校时</w:t>
      </w:r>
    </w:p>
    <w:p>
      <w:pPr>
        <w:numPr>
          <w:ilvl w:val="0"/>
          <w:numId w:val="36"/>
        </w:numPr>
        <w:spacing/>
        <w:ind w:left="839" w:hanging="419"/>
        <w:jc w:val="both"/>
        <w:rPr>
          <w:rFonts w:ascii="宋体" w:hAnsi="宋体" w:eastAsia="宋体"/>
          <w:sz w:val="21"/>
          <w:szCs w:val="21"/>
        </w:rPr>
      </w:pPr>
      <w:r>
        <w:rPr>
          <w:rFonts w:hint="eastAsia"/>
        </w:rPr>
      </w:r>
      <w:r>
        <w:rPr>
          <w:rFonts w:ascii="宋体" w:hAnsi="宋体" w:eastAsia="宋体"/>
          <w:sz w:val="21"/>
          <w:szCs w:val="21"/>
        </w:rPr>
        <w:t>广播校时每天只允许一次，电能表可接受的广播校时范围不得大于</w:t>
      </w:r>
      <w:r>
        <w:rPr>
          <w:rFonts w:hint="eastAsia"/>
        </w:rPr>
      </w:r>
      <w:r>
        <w:rPr>
          <w:rFonts w:ascii="Times New Roman" w:hAnsi="Times New Roman" w:eastAsia="Times New Roman"/>
          <w:sz w:val="21"/>
          <w:szCs w:val="21"/>
        </w:rPr>
        <w:t>5min</w:t>
      </w:r>
      <w:r>
        <w:rPr>
          <w:rFonts w:hint="eastAsia"/>
        </w:rPr>
      </w:r>
      <w:r>
        <w:rPr>
          <w:rFonts w:ascii="宋体" w:hAnsi="宋体" w:eastAsia="宋体"/>
          <w:sz w:val="21"/>
          <w:szCs w:val="21"/>
        </w:rPr>
        <w:t>，当校正时间大于</w:t>
      </w:r>
      <w:r>
        <w:rPr>
          <w:rFonts w:hint="eastAsia"/>
        </w:rPr>
      </w:r>
      <w:r>
        <w:rPr>
          <w:rFonts w:ascii="Times New Roman" w:hAnsi="Times New Roman" w:eastAsia="Times New Roman"/>
          <w:sz w:val="21"/>
          <w:szCs w:val="21"/>
        </w:rPr>
        <w:t>5min</w:t>
      </w:r>
      <w:r>
        <w:rPr>
          <w:rFonts w:hint="eastAsia"/>
        </w:rPr>
      </w:r>
      <w:r>
        <w:rPr>
          <w:rFonts w:ascii="宋体" w:hAnsi="宋体" w:eastAsia="宋体"/>
          <w:sz w:val="21"/>
          <w:szCs w:val="21"/>
        </w:rPr>
        <w:t>时，电能表只有通过加密方式进行时钟设置。</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电能表只接受小于或等于</w:t>
      </w:r>
      <w:r>
        <w:rPr>
          <w:rFonts w:hint="eastAsia"/>
        </w:rPr>
      </w:r>
      <w:r>
        <w:rPr>
          <w:rFonts w:ascii="Times New Roman" w:hAnsi="Times New Roman" w:eastAsia="Times New Roman"/>
          <w:sz w:val="21"/>
          <w:szCs w:val="21"/>
        </w:rPr>
        <w:t>5</w:t>
      </w:r>
      <w:r>
        <w:rPr>
          <w:rFonts w:hint="eastAsia"/>
        </w:rPr>
      </w:r>
      <w:r>
        <w:rPr>
          <w:rFonts w:ascii="宋体" w:hAnsi="宋体" w:eastAsia="宋体"/>
          <w:sz w:val="21"/>
          <w:szCs w:val="21"/>
        </w:rPr>
        <w:t>分钟的时钟误差广播校时；每日只允许校时一次（日期发生改变即允许校时），且应尽量避免在电能表执行结算数据转存操作前后</w:t>
      </w:r>
      <w:r>
        <w:rPr>
          <w:rFonts w:hint="eastAsia"/>
        </w:rPr>
      </w:r>
      <w:r>
        <w:rPr>
          <w:rFonts w:ascii="Times New Roman" w:hAnsi="Times New Roman" w:eastAsia="Times New Roman"/>
          <w:sz w:val="21"/>
          <w:szCs w:val="21"/>
        </w:rPr>
        <w:t>5</w:t>
      </w:r>
      <w:r>
        <w:rPr>
          <w:rFonts w:hint="eastAsia"/>
        </w:rPr>
      </w:r>
      <w:r>
        <w:rPr>
          <w:rFonts w:ascii="宋体" w:hAnsi="宋体" w:eastAsia="宋体"/>
          <w:sz w:val="21"/>
          <w:szCs w:val="21"/>
        </w:rPr>
        <w:t>分钟内进行</w:t>
      </w:r>
      <w:r>
        <w:rPr>
          <w:rFonts w:hint="eastAsia"/>
        </w:rPr>
      </w:r>
      <w:r>
        <w:rPr>
          <w:rFonts w:ascii="宋体" w:hAnsi="宋体" w:eastAsia="宋体"/>
          <w:color w:val="000000"/>
          <w:sz w:val="21"/>
          <w:szCs w:val="21"/>
        </w:rPr>
        <w:t>。</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显示功能</w:t>
      </w:r>
    </w:p>
    <w:p>
      <w:pPr>
        <w:numPr>
          <w:ilvl w:val="0"/>
          <w:numId w:val="38"/>
        </w:numPr>
        <w:spacing/>
        <w:ind w:left="839" w:hanging="419"/>
        <w:jc w:val="both"/>
        <w:rPr>
          <w:rFonts w:ascii="宋体" w:hAnsi="宋体" w:eastAsia="宋体"/>
          <w:sz w:val="21"/>
          <w:szCs w:val="21"/>
        </w:rPr>
      </w:pPr>
      <w:r>
        <w:rPr>
          <w:rFonts w:hint="eastAsia"/>
        </w:rPr>
      </w:r>
      <w:r>
        <w:rPr>
          <w:rFonts w:ascii="宋体" w:hAnsi="宋体" w:eastAsia="宋体"/>
          <w:sz w:val="21"/>
          <w:szCs w:val="21"/>
        </w:rPr>
        <w:t>该电能表</w:t>
      </w:r>
      <w:r>
        <w:rPr>
          <w:rFonts w:hint="eastAsia"/>
        </w:rPr>
      </w:r>
      <w:r>
        <w:rPr>
          <w:rFonts w:ascii="Times New Roman" w:hAnsi="Times New Roman" w:eastAsia="Times New Roman"/>
          <w:sz w:val="21"/>
          <w:szCs w:val="21"/>
        </w:rPr>
        <w:t>LCD</w:t>
      </w:r>
      <w:r>
        <w:rPr>
          <w:rFonts w:hint="eastAsia"/>
        </w:rPr>
      </w:r>
      <w:r>
        <w:rPr>
          <w:rFonts w:ascii="宋体" w:hAnsi="宋体" w:eastAsia="宋体"/>
          <w:sz w:val="21"/>
          <w:szCs w:val="21"/>
        </w:rPr>
        <w:t>采用</w:t>
      </w:r>
      <w:r>
        <w:rPr>
          <w:rFonts w:hint="eastAsia"/>
        </w:rPr>
      </w:r>
      <w:r>
        <w:rPr>
          <w:rFonts w:ascii="Times New Roman" w:hAnsi="Times New Roman" w:eastAsia="Times New Roman"/>
          <w:sz w:val="21"/>
          <w:szCs w:val="21"/>
        </w:rPr>
        <w:t>HTN</w:t>
      </w:r>
      <w:r>
        <w:rPr>
          <w:rFonts w:hint="eastAsia"/>
        </w:rPr>
      </w:r>
      <w:r>
        <w:rPr>
          <w:rFonts w:ascii="宋体" w:hAnsi="宋体" w:eastAsia="宋体"/>
          <w:sz w:val="21"/>
          <w:szCs w:val="21"/>
        </w:rPr>
        <w:t>类型材质，具有宽视角，防紫外线等功能，在正常使用情况下，</w:t>
      </w:r>
      <w:r>
        <w:rPr>
          <w:rFonts w:hint="eastAsia"/>
        </w:rPr>
      </w:r>
      <w:r>
        <w:rPr>
          <w:rFonts w:ascii="Times New Roman" w:hAnsi="Times New Roman" w:eastAsia="Times New Roman"/>
          <w:sz w:val="21"/>
          <w:szCs w:val="21"/>
        </w:rPr>
        <w:t>LCD</w:t>
      </w:r>
      <w:r>
        <w:rPr>
          <w:rFonts w:hint="eastAsia"/>
        </w:rPr>
      </w:r>
      <w:r>
        <w:rPr>
          <w:rFonts w:ascii="宋体" w:hAnsi="宋体" w:eastAsia="宋体"/>
          <w:sz w:val="21"/>
          <w:szCs w:val="21"/>
        </w:rPr>
        <w:t>寿命大于</w:t>
      </w:r>
      <w:r>
        <w:rPr>
          <w:rFonts w:hint="eastAsia"/>
        </w:rPr>
      </w:r>
      <w:r>
        <w:rPr>
          <w:rFonts w:ascii="Times New Roman" w:hAnsi="Times New Roman" w:eastAsia="Times New Roman"/>
          <w:sz w:val="21"/>
          <w:szCs w:val="21"/>
        </w:rPr>
        <w:t>10</w:t>
      </w:r>
      <w:r>
        <w:rPr>
          <w:rFonts w:hint="eastAsia"/>
        </w:rPr>
      </w:r>
      <w:r>
        <w:rPr>
          <w:rFonts w:ascii="宋体" w:hAnsi="宋体" w:eastAsia="宋体"/>
          <w:sz w:val="21"/>
          <w:szCs w:val="21"/>
        </w:rPr>
        <w:t>年。</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电能表具备自动循环和按键两种显示方式；自动循环显示时间间隔可在</w:t>
      </w:r>
      <w:r>
        <w:rPr>
          <w:rFonts w:hint="eastAsia"/>
        </w:rPr>
      </w:r>
      <w:r>
        <w:rPr>
          <w:rFonts w:ascii="Times New Roman" w:hAnsi="Times New Roman" w:eastAsia="Times New Roman"/>
          <w:sz w:val="21"/>
          <w:szCs w:val="21"/>
        </w:rPr>
        <w:t>5</w:t>
      </w:r>
      <w:r>
        <w:rPr>
          <w:rFonts w:hint="eastAsia"/>
        </w:rPr>
      </w:r>
      <w:r>
        <w:rPr>
          <w:rFonts w:ascii="宋体" w:hAnsi="宋体" w:eastAsia="宋体"/>
          <w:sz w:val="21"/>
          <w:szCs w:val="21"/>
        </w:rPr>
        <w:t>～</w:t>
      </w:r>
      <w:r>
        <w:rPr>
          <w:rFonts w:hint="eastAsia"/>
        </w:rPr>
      </w:r>
      <w:r>
        <w:rPr>
          <w:rFonts w:ascii="Times New Roman" w:hAnsi="Times New Roman" w:eastAsia="Times New Roman"/>
          <w:sz w:val="21"/>
          <w:szCs w:val="21"/>
        </w:rPr>
        <w:t>20</w:t>
      </w:r>
      <w:r>
        <w:rPr>
          <w:rFonts w:hint="eastAsia"/>
        </w:rPr>
      </w:r>
      <w:r>
        <w:rPr>
          <w:rFonts w:ascii="宋体" w:hAnsi="宋体" w:eastAsia="宋体"/>
          <w:sz w:val="21"/>
          <w:szCs w:val="21"/>
        </w:rPr>
        <w:t>秒内设置；按键显示时，</w:t>
      </w:r>
      <w:r>
        <w:rPr>
          <w:rFonts w:hint="eastAsia"/>
        </w:rPr>
      </w:r>
      <w:r>
        <w:rPr>
          <w:rFonts w:ascii="Times New Roman" w:hAnsi="Times New Roman" w:eastAsia="Times New Roman"/>
          <w:sz w:val="21"/>
          <w:szCs w:val="21"/>
        </w:rPr>
        <w:t>LCD</w:t>
      </w:r>
      <w:r>
        <w:rPr>
          <w:rFonts w:hint="eastAsia"/>
        </w:rPr>
      </w:r>
      <w:r>
        <w:rPr>
          <w:rFonts w:ascii="宋体" w:hAnsi="宋体" w:eastAsia="宋体"/>
          <w:sz w:val="21"/>
          <w:szCs w:val="21"/>
        </w:rPr>
        <w:t>应启动背光，带电时无操作</w:t>
      </w:r>
      <w:r>
        <w:rPr>
          <w:rFonts w:hint="eastAsia"/>
        </w:rPr>
      </w:r>
      <w:r>
        <w:rPr>
          <w:rFonts w:ascii="Times New Roman" w:hAnsi="Times New Roman" w:eastAsia="Times New Roman"/>
          <w:sz w:val="21"/>
          <w:szCs w:val="21"/>
        </w:rPr>
        <w:t>60S</w:t>
      </w:r>
      <w:r>
        <w:rPr>
          <w:rFonts w:hint="eastAsia"/>
        </w:rPr>
      </w:r>
      <w:r>
        <w:rPr>
          <w:rFonts w:ascii="宋体" w:hAnsi="宋体" w:eastAsia="宋体"/>
          <w:sz w:val="21"/>
          <w:szCs w:val="21"/>
        </w:rPr>
        <w:t>后自动关闭背光。</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停电显示：停电后，液晶显示自动关闭，可用按键或其他方式唤醒液晶显示。唤醒后如无操作，自动循环显示一遍后关闭显示，按键显示操作结束</w:t>
      </w:r>
      <w:r>
        <w:rPr>
          <w:rFonts w:hint="eastAsia"/>
        </w:rPr>
      </w:r>
      <w:r>
        <w:rPr>
          <w:rFonts w:ascii="Times New Roman" w:hAnsi="Times New Roman" w:eastAsia="Times New Roman"/>
          <w:sz w:val="21"/>
          <w:szCs w:val="21"/>
        </w:rPr>
        <w:t>30</w:t>
      </w:r>
      <w:r>
        <w:rPr>
          <w:rFonts w:hint="eastAsia"/>
        </w:rPr>
      </w:r>
      <w:r>
        <w:rPr>
          <w:rFonts w:ascii="宋体" w:hAnsi="宋体" w:eastAsia="宋体"/>
          <w:sz w:val="21"/>
          <w:szCs w:val="21"/>
        </w:rPr>
        <w:t>秒后关闭显示。</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通讯功能</w:t>
      </w:r>
    </w:p>
    <w:p>
      <w:pPr>
        <w:numPr>
          <w:ilvl w:val="0"/>
          <w:numId w:val="39"/>
        </w:numPr>
        <w:spacing/>
        <w:ind w:left="839" w:hanging="419"/>
        <w:jc w:val="both"/>
        <w:rPr>
          <w:rFonts w:ascii="宋体" w:hAnsi="宋体" w:eastAsia="宋体"/>
          <w:sz w:val="21"/>
          <w:szCs w:val="21"/>
        </w:rPr>
      </w:pPr>
      <w:r>
        <w:rPr>
          <w:rFonts w:hint="eastAsia"/>
        </w:rPr>
      </w:r>
      <w:r>
        <w:rPr>
          <w:rFonts w:ascii="宋体" w:hAnsi="宋体" w:eastAsia="宋体"/>
          <w:kern w:val="21"/>
          <w:sz w:val="21"/>
          <w:szCs w:val="21"/>
        </w:rPr>
        <w:t>电能表具有</w:t>
      </w:r>
      <w:r>
        <w:rPr>
          <w:rFonts w:hint="eastAsia"/>
        </w:rPr>
      </w:r>
      <w:r>
        <w:rPr>
          <w:rFonts w:ascii="Times New Roman" w:hAnsi="Times New Roman" w:eastAsia="Times New Roman"/>
          <w:kern w:val="21"/>
          <w:sz w:val="21"/>
          <w:szCs w:val="21"/>
        </w:rPr>
        <w:t>1</w:t>
      </w:r>
      <w:r>
        <w:rPr>
          <w:rFonts w:hint="eastAsia"/>
        </w:rPr>
      </w:r>
      <w:r>
        <w:rPr>
          <w:rFonts w:ascii="宋体" w:hAnsi="宋体" w:eastAsia="宋体"/>
          <w:kern w:val="21"/>
          <w:sz w:val="21"/>
          <w:szCs w:val="21"/>
        </w:rPr>
        <w:t>个红外通信接口、</w:t>
      </w:r>
      <w:r>
        <w:rPr>
          <w:rFonts w:hint="eastAsia"/>
        </w:rPr>
      </w:r>
      <w:r>
        <w:rPr>
          <w:rFonts w:ascii="Times New Roman" w:hAnsi="Times New Roman" w:eastAsia="Times New Roman"/>
          <w:kern w:val="21"/>
          <w:sz w:val="21"/>
          <w:szCs w:val="21"/>
        </w:rPr>
        <w:t>2</w:t>
      </w:r>
      <w:r>
        <w:rPr>
          <w:rFonts w:hint="eastAsia"/>
        </w:rPr>
      </w:r>
      <w:r>
        <w:rPr>
          <w:rFonts w:ascii="宋体" w:hAnsi="宋体" w:eastAsia="宋体"/>
          <w:kern w:val="21"/>
          <w:sz w:val="21"/>
          <w:szCs w:val="21"/>
        </w:rPr>
        <w:t>个</w:t>
      </w:r>
      <w:r>
        <w:rPr>
          <w:rFonts w:hint="eastAsia"/>
        </w:rPr>
      </w:r>
      <w:r>
        <w:rPr>
          <w:rFonts w:ascii="Times New Roman" w:hAnsi="Times New Roman" w:eastAsia="Times New Roman"/>
          <w:kern w:val="21"/>
          <w:sz w:val="21"/>
          <w:szCs w:val="21"/>
        </w:rPr>
        <w:t>RS485</w:t>
      </w:r>
      <w:r>
        <w:rPr>
          <w:rFonts w:hint="eastAsia"/>
        </w:rPr>
      </w:r>
      <w:r>
        <w:rPr>
          <w:rFonts w:ascii="宋体" w:hAnsi="宋体" w:eastAsia="宋体"/>
          <w:kern w:val="21"/>
          <w:sz w:val="21"/>
          <w:szCs w:val="21"/>
        </w:rPr>
        <w:t>通信接口、</w:t>
      </w:r>
      <w:r>
        <w:rPr>
          <w:rFonts w:hint="eastAsia"/>
        </w:rPr>
      </w:r>
      <w:r>
        <w:rPr>
          <w:rFonts w:ascii="Times New Roman" w:hAnsi="Times New Roman" w:eastAsia="Times New Roman"/>
          <w:kern w:val="21"/>
          <w:sz w:val="21"/>
          <w:szCs w:val="21"/>
        </w:rPr>
        <w:t>1</w:t>
      </w:r>
      <w:r>
        <w:rPr>
          <w:rFonts w:hint="eastAsia"/>
        </w:rPr>
      </w:r>
      <w:r>
        <w:rPr>
          <w:rFonts w:ascii="宋体" w:hAnsi="宋体" w:eastAsia="宋体"/>
          <w:kern w:val="21"/>
          <w:sz w:val="21"/>
          <w:szCs w:val="21"/>
        </w:rPr>
        <w:t>个无线模块通信接口。红外、</w:t>
      </w:r>
      <w:r>
        <w:rPr>
          <w:rFonts w:hint="eastAsia"/>
        </w:rPr>
      </w:r>
      <w:r>
        <w:rPr>
          <w:rFonts w:ascii="Times New Roman" w:hAnsi="Times New Roman" w:eastAsia="Times New Roman"/>
          <w:kern w:val="21"/>
          <w:sz w:val="21"/>
          <w:szCs w:val="21"/>
        </w:rPr>
        <w:t>RS485</w:t>
      </w:r>
      <w:r>
        <w:rPr>
          <w:rFonts w:hint="eastAsia"/>
        </w:rPr>
      </w:r>
      <w:r>
        <w:rPr>
          <w:rFonts w:ascii="宋体" w:hAnsi="宋体" w:eastAsia="宋体"/>
          <w:kern w:val="21"/>
          <w:sz w:val="21"/>
          <w:szCs w:val="21"/>
        </w:rPr>
        <w:t>和无线模块通信接口的物理层相互间独立，一个通信接口的损坏不影响其它通信接口正常工作。另外，对通信接口和电能表内部电路实行光电隔离，有失效保护电路</w:t>
      </w:r>
      <w:r>
        <w:rPr>
          <w:rFonts w:hint="eastAsia"/>
        </w:rPr>
      </w:r>
      <w:r>
        <w:rPr>
          <w:rFonts w:ascii="宋体" w:hAnsi="宋体" w:eastAsia="宋体"/>
          <w:color w:val="000000"/>
          <w:sz w:val="21"/>
          <w:szCs w:val="21"/>
        </w:rPr>
        <w:t>。</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color w:val="000000"/>
          <w:sz w:val="21"/>
          <w:szCs w:val="21"/>
        </w:rPr>
        <w:t>电能表通过通信接口可以与手持终端、数据采集器、检测设备、计算机等进行数据传输、广播对时设置、抄读、管理等。通讯规约符合</w:t>
      </w:r>
      <w:r>
        <w:rPr>
          <w:rFonts w:hint="eastAsia"/>
        </w:rPr>
      </w:r>
      <w:r>
        <w:rPr>
          <w:rFonts w:ascii="Times New Roman" w:hAnsi="Times New Roman" w:eastAsia="Times New Roman"/>
          <w:color w:val="000000"/>
          <w:sz w:val="21"/>
          <w:szCs w:val="21"/>
        </w:rPr>
        <w:t>DL/T645-2007</w:t>
      </w:r>
      <w:r>
        <w:rPr>
          <w:rFonts w:hint="eastAsia"/>
        </w:rPr>
      </w:r>
      <w:r>
        <w:rPr>
          <w:rFonts w:ascii="宋体" w:hAnsi="宋体" w:eastAsia="宋体"/>
          <w:color w:val="000000"/>
          <w:sz w:val="21"/>
          <w:szCs w:val="21"/>
        </w:rPr>
        <w:t>标准。</w:t>
      </w:r>
    </w:p>
    <w:p>
      <w:pPr>
        <w:numPr>
          <w:ilvl w:val="0"/>
          <w:numId w:val="35"/>
        </w:numPr>
        <w:spacing/>
        <w:ind w:left="839" w:hanging="419"/>
        <w:jc w:val="both"/>
        <w:rPr>
          <w:rFonts w:ascii="宋体" w:hAnsi="宋体" w:eastAsia="宋体"/>
          <w:sz w:val="21"/>
          <w:szCs w:val="21"/>
        </w:rPr>
      </w:pPr>
      <w:r>
        <w:rPr>
          <w:rFonts w:hint="eastAsia"/>
        </w:rPr>
      </w:r>
      <w:r>
        <w:rPr>
          <w:rFonts w:ascii="Times New Roman" w:hAnsi="Times New Roman" w:eastAsia="Times New Roman"/>
          <w:color w:val="000000"/>
          <w:sz w:val="21"/>
          <w:szCs w:val="21"/>
        </w:rPr>
        <w:t xml:space="preserve">RS485 </w:t>
      </w:r>
      <w:r>
        <w:rPr>
          <w:rFonts w:hint="eastAsia"/>
        </w:rPr>
      </w:r>
      <w:r>
        <w:rPr>
          <w:rFonts w:ascii="宋体" w:hAnsi="宋体" w:eastAsia="宋体"/>
          <w:color w:val="000000"/>
          <w:sz w:val="21"/>
          <w:szCs w:val="21"/>
        </w:rPr>
        <w:t>通信接口和电能表内部电路实现电气隔离，有失效保护电路。</w:t>
      </w:r>
      <w:r>
        <w:rPr>
          <w:rFonts w:hint="eastAsia"/>
        </w:rPr>
      </w:r>
      <w:r>
        <w:rPr>
          <w:rFonts w:ascii="Times New Roman" w:hAnsi="Times New Roman" w:eastAsia="Times New Roman"/>
          <w:color w:val="000000"/>
          <w:sz w:val="21"/>
          <w:szCs w:val="21"/>
        </w:rPr>
        <w:t>RS485</w:t>
      </w:r>
      <w:r>
        <w:rPr>
          <w:rFonts w:hint="eastAsia"/>
        </w:rPr>
      </w:r>
      <w:r>
        <w:rPr>
          <w:rFonts w:ascii="宋体" w:hAnsi="宋体" w:eastAsia="宋体"/>
          <w:color w:val="000000"/>
          <w:sz w:val="21"/>
          <w:szCs w:val="21"/>
        </w:rPr>
        <w:t>通信传输速率允许在</w:t>
      </w:r>
      <w:r>
        <w:rPr>
          <w:rFonts w:hint="eastAsia"/>
        </w:rPr>
      </w:r>
      <w:r>
        <w:rPr>
          <w:rFonts w:ascii="Times New Roman" w:hAnsi="Times New Roman" w:eastAsia="Times New Roman"/>
          <w:color w:val="000000"/>
          <w:sz w:val="21"/>
          <w:szCs w:val="21"/>
        </w:rPr>
        <w:t>1200bps</w:t>
      </w:r>
      <w:r>
        <w:rPr>
          <w:rFonts w:hint="eastAsia"/>
        </w:rPr>
      </w:r>
      <w:r>
        <w:rPr>
          <w:rFonts w:ascii="宋体" w:hAnsi="宋体" w:eastAsia="宋体"/>
          <w:color w:val="000000"/>
          <w:sz w:val="21"/>
          <w:szCs w:val="21"/>
        </w:rPr>
        <w:t>、</w:t>
      </w:r>
      <w:r>
        <w:rPr>
          <w:rFonts w:hint="eastAsia"/>
        </w:rPr>
      </w:r>
      <w:r>
        <w:rPr>
          <w:rFonts w:ascii="Times New Roman" w:hAnsi="Times New Roman" w:eastAsia="Times New Roman"/>
          <w:color w:val="000000"/>
          <w:sz w:val="21"/>
          <w:szCs w:val="21"/>
        </w:rPr>
        <w:t xml:space="preserve">2400bps </w:t>
      </w:r>
      <w:r>
        <w:rPr>
          <w:rFonts w:hint="eastAsia"/>
        </w:rPr>
      </w:r>
      <w:r>
        <w:rPr>
          <w:rFonts w:ascii="宋体" w:hAnsi="宋体" w:eastAsia="宋体"/>
          <w:color w:val="000000"/>
          <w:sz w:val="21"/>
          <w:szCs w:val="21"/>
        </w:rPr>
        <w:t>、</w:t>
      </w:r>
      <w:r>
        <w:rPr>
          <w:rFonts w:hint="eastAsia"/>
        </w:rPr>
      </w:r>
      <w:r>
        <w:rPr>
          <w:rFonts w:ascii="Times New Roman" w:hAnsi="Times New Roman" w:eastAsia="Times New Roman"/>
          <w:color w:val="000000"/>
          <w:sz w:val="21"/>
          <w:szCs w:val="21"/>
        </w:rPr>
        <w:t>4800bps</w:t>
      </w:r>
      <w:r>
        <w:rPr>
          <w:rFonts w:hint="eastAsia"/>
        </w:rPr>
      </w:r>
      <w:r>
        <w:rPr>
          <w:rFonts w:ascii="宋体" w:hAnsi="宋体" w:eastAsia="宋体"/>
          <w:color w:val="000000"/>
          <w:sz w:val="21"/>
          <w:szCs w:val="21"/>
        </w:rPr>
        <w:t>、</w:t>
      </w:r>
      <w:r>
        <w:rPr>
          <w:rFonts w:hint="eastAsia"/>
        </w:rPr>
      </w:r>
      <w:r>
        <w:rPr>
          <w:rFonts w:ascii="Times New Roman" w:hAnsi="Times New Roman" w:eastAsia="Times New Roman"/>
          <w:color w:val="000000"/>
          <w:sz w:val="21"/>
          <w:szCs w:val="21"/>
        </w:rPr>
        <w:t>9600bps</w:t>
      </w:r>
      <w:r>
        <w:rPr>
          <w:rFonts w:hint="eastAsia"/>
        </w:rPr>
      </w:r>
      <w:r>
        <w:rPr>
          <w:rFonts w:ascii="宋体" w:hAnsi="宋体" w:eastAsia="宋体"/>
          <w:color w:val="000000"/>
          <w:sz w:val="21"/>
          <w:szCs w:val="21"/>
        </w:rPr>
        <w:t>中选择，缺省值为</w:t>
      </w:r>
      <w:r>
        <w:rPr>
          <w:rFonts w:hint="eastAsia"/>
        </w:rPr>
      </w:r>
      <w:r>
        <w:rPr>
          <w:rFonts w:ascii="Times New Roman" w:hAnsi="Times New Roman" w:eastAsia="Times New Roman"/>
          <w:color w:val="000000"/>
          <w:sz w:val="21"/>
          <w:szCs w:val="21"/>
        </w:rPr>
        <w:t>2400bps</w:t>
      </w:r>
      <w:r>
        <w:rPr>
          <w:rFonts w:hint="eastAsia"/>
        </w:rPr>
      </w:r>
      <w:r>
        <w:rPr>
          <w:rFonts w:ascii="宋体" w:hAnsi="宋体" w:eastAsia="宋体"/>
          <w:color w:val="000000"/>
          <w:sz w:val="21"/>
          <w:szCs w:val="21"/>
        </w:rPr>
        <w:t>。</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color w:val="000000"/>
          <w:sz w:val="21"/>
          <w:szCs w:val="21"/>
        </w:rPr>
        <w:t>调制式红外通信接口的缺省波特率为</w:t>
      </w:r>
      <w:r>
        <w:rPr>
          <w:rFonts w:hint="eastAsia"/>
        </w:rPr>
      </w:r>
      <w:r>
        <w:rPr>
          <w:rFonts w:ascii="Times New Roman" w:hAnsi="Times New Roman" w:eastAsia="Times New Roman"/>
          <w:color w:val="000000"/>
          <w:sz w:val="21"/>
          <w:szCs w:val="21"/>
        </w:rPr>
        <w:t>1200bps</w:t>
      </w:r>
      <w:r>
        <w:rPr>
          <w:rFonts w:hint="eastAsia"/>
        </w:rPr>
      </w:r>
      <w:r>
        <w:rPr>
          <w:rFonts w:ascii="宋体" w:hAnsi="宋体" w:eastAsia="宋体"/>
          <w:color w:val="000000"/>
          <w:sz w:val="21"/>
          <w:szCs w:val="21"/>
        </w:rPr>
        <w:t>。</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无线模块接口与</w:t>
      </w:r>
      <w:r>
        <w:rPr>
          <w:rFonts w:hint="eastAsia"/>
        </w:rPr>
      </w:r>
      <w:r>
        <w:rPr>
          <w:rFonts w:ascii="Times New Roman" w:hAnsi="Times New Roman" w:eastAsia="Times New Roman"/>
          <w:sz w:val="21"/>
          <w:szCs w:val="21"/>
        </w:rPr>
        <w:t>RS485</w:t>
      </w:r>
      <w:r>
        <w:rPr>
          <w:rFonts w:hint="eastAsia"/>
        </w:rPr>
      </w:r>
      <w:r>
        <w:rPr>
          <w:rFonts w:ascii="宋体" w:hAnsi="宋体" w:eastAsia="宋体"/>
          <w:sz w:val="21"/>
          <w:szCs w:val="21"/>
        </w:rPr>
        <w:t>接口物理层相互独立，一个通信接口的损坏不影响其它通信接口正常工作。</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信号输出</w:t>
      </w:r>
    </w:p>
    <w:p>
      <w:pPr>
        <w:numPr>
          <w:ilvl w:val="0"/>
          <w:numId w:val="40"/>
        </w:numPr>
        <w:spacing/>
        <w:ind w:left="839" w:hanging="419"/>
        <w:jc w:val="both"/>
        <w:rPr>
          <w:rFonts w:ascii="宋体" w:hAnsi="宋体" w:eastAsia="宋体"/>
          <w:sz w:val="21"/>
          <w:szCs w:val="21"/>
        </w:rPr>
      </w:pPr>
      <w:r>
        <w:rPr>
          <w:rFonts w:hint="eastAsia"/>
        </w:rPr>
      </w:r>
      <w:r>
        <w:rPr>
          <w:rFonts w:ascii="宋体" w:hAnsi="宋体" w:eastAsia="宋体"/>
          <w:sz w:val="21"/>
          <w:szCs w:val="21"/>
        </w:rPr>
        <w:t>电能表应具备与所计量的电能量成正比的光脉冲和电脉冲输出。</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光测试输出装置的特性应符合</w:t>
      </w:r>
      <w:r>
        <w:rPr>
          <w:rFonts w:hint="eastAsia"/>
        </w:rPr>
      </w:r>
      <w:r>
        <w:rPr>
          <w:rFonts w:ascii="Times New Roman" w:hAnsi="Times New Roman" w:eastAsia="Times New Roman"/>
          <w:sz w:val="21"/>
          <w:szCs w:val="21"/>
        </w:rPr>
        <w:t>GB/T 17215.211</w:t>
      </w:r>
      <w:r>
        <w:rPr>
          <w:rFonts w:hint="eastAsia"/>
        </w:rPr>
      </w:r>
      <w:r>
        <w:rPr>
          <w:rFonts w:ascii="宋体" w:hAnsi="宋体" w:eastAsia="宋体"/>
          <w:sz w:val="21"/>
          <w:szCs w:val="21"/>
        </w:rPr>
        <w:t>—</w:t>
      </w:r>
      <w:r>
        <w:rPr>
          <w:rFonts w:hint="eastAsia"/>
        </w:rPr>
      </w:r>
      <w:r>
        <w:rPr>
          <w:rFonts w:ascii="Times New Roman" w:hAnsi="Times New Roman" w:eastAsia="Times New Roman"/>
          <w:sz w:val="21"/>
          <w:szCs w:val="21"/>
        </w:rPr>
        <w:t>2006</w:t>
      </w:r>
      <w:r>
        <w:rPr>
          <w:rFonts w:hint="eastAsia"/>
        </w:rPr>
      </w:r>
      <w:r>
        <w:rPr>
          <w:rFonts w:ascii="宋体" w:hAnsi="宋体" w:eastAsia="宋体"/>
          <w:sz w:val="21"/>
          <w:szCs w:val="21"/>
        </w:rPr>
        <w:t>的要求，电测试输出装置的特性应符合</w:t>
      </w:r>
      <w:r>
        <w:rPr>
          <w:rFonts w:hint="eastAsia"/>
        </w:rPr>
      </w:r>
      <w:r>
        <w:rPr>
          <w:rFonts w:ascii="Times New Roman" w:hAnsi="Times New Roman" w:eastAsia="Times New Roman"/>
          <w:sz w:val="21"/>
          <w:szCs w:val="21"/>
        </w:rPr>
        <w:t>GB/T 15284</w:t>
      </w:r>
      <w:r>
        <w:rPr>
          <w:rFonts w:hint="eastAsia"/>
        </w:rPr>
      </w:r>
      <w:r>
        <w:rPr>
          <w:rFonts w:ascii="宋体" w:hAnsi="宋体" w:eastAsia="宋体"/>
          <w:sz w:val="21"/>
          <w:szCs w:val="21"/>
        </w:rPr>
        <w:t>—</w:t>
      </w:r>
      <w:r>
        <w:rPr>
          <w:rFonts w:hint="eastAsia"/>
        </w:rPr>
      </w:r>
      <w:r>
        <w:rPr>
          <w:rFonts w:ascii="Times New Roman" w:hAnsi="Times New Roman" w:eastAsia="Times New Roman"/>
          <w:sz w:val="21"/>
          <w:szCs w:val="21"/>
        </w:rPr>
        <w:t>2002</w:t>
      </w:r>
      <w:r>
        <w:rPr>
          <w:rFonts w:hint="eastAsia"/>
        </w:rPr>
      </w:r>
      <w:r>
        <w:rPr>
          <w:rFonts w:ascii="宋体" w:hAnsi="宋体" w:eastAsia="宋体"/>
          <w:sz w:val="21"/>
          <w:szCs w:val="21"/>
        </w:rPr>
        <w:t>的要求。</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光脉冲输出采用超亮、长寿命</w:t>
      </w:r>
      <w:r>
        <w:rPr>
          <w:rFonts w:hint="eastAsia"/>
        </w:rPr>
      </w:r>
      <w:r>
        <w:rPr>
          <w:rFonts w:ascii="Times New Roman" w:hAnsi="Times New Roman" w:eastAsia="Times New Roman"/>
          <w:sz w:val="21"/>
          <w:szCs w:val="21"/>
        </w:rPr>
        <w:t>LED</w:t>
      </w:r>
      <w:r>
        <w:rPr>
          <w:rFonts w:hint="eastAsia"/>
        </w:rPr>
      </w:r>
      <w:r>
        <w:rPr>
          <w:rFonts w:ascii="宋体" w:hAnsi="宋体" w:eastAsia="宋体"/>
          <w:sz w:val="21"/>
          <w:szCs w:val="21"/>
        </w:rPr>
        <w:t>指示灯，脉冲宽度：</w:t>
      </w:r>
      <w:r>
        <w:rPr>
          <w:rFonts w:hint="eastAsia"/>
        </w:rPr>
      </w:r>
      <w:r>
        <w:rPr>
          <w:rFonts w:ascii="Times New Roman" w:hAnsi="Times New Roman" w:eastAsia="Times New Roman"/>
          <w:sz w:val="21"/>
          <w:szCs w:val="21"/>
        </w:rPr>
        <w:t>80ms</w:t>
      </w:r>
      <w:r>
        <w:rPr>
          <w:rFonts w:hint="eastAsia"/>
        </w:rPr>
      </w:r>
      <w:r>
        <w:rPr>
          <w:rFonts w:ascii="宋体" w:hAnsi="宋体" w:eastAsia="宋体"/>
          <w:sz w:val="21"/>
          <w:szCs w:val="21"/>
        </w:rPr>
        <w:t>±</w:t>
      </w:r>
      <w:r>
        <w:rPr>
          <w:rFonts w:hint="eastAsia"/>
        </w:rPr>
      </w:r>
      <w:r>
        <w:rPr>
          <w:rFonts w:ascii="Times New Roman" w:hAnsi="Times New Roman" w:eastAsia="Times New Roman"/>
          <w:sz w:val="21"/>
          <w:szCs w:val="21"/>
        </w:rPr>
        <w:t>16ms</w:t>
      </w:r>
      <w:r>
        <w:rPr>
          <w:rFonts w:hint="eastAsia"/>
        </w:rPr>
      </w:r>
      <w:r>
        <w:rPr>
          <w:rFonts w:ascii="宋体" w:hAnsi="宋体" w:eastAsia="宋体"/>
          <w:sz w:val="21"/>
          <w:szCs w:val="21"/>
        </w:rPr>
        <w:t>。</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电脉冲输出应有电气隔离，测试端口能从正面触及到</w:t>
      </w:r>
      <w:r>
        <w:rPr>
          <w:rFonts w:hint="eastAsia"/>
        </w:rPr>
      </w:r>
      <w:r>
        <w:rPr>
          <w:rFonts w:ascii="宋体" w:hAnsi="宋体" w:eastAsia="宋体"/>
          <w:color w:val="000000"/>
          <w:sz w:val="21"/>
          <w:szCs w:val="21"/>
        </w:rPr>
        <w:t>。</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报警功能</w:t>
      </w:r>
    </w:p>
    <w:p>
      <w:pPr>
        <w:spacing w:before="24" w:line="380" w:lineRule="exact"/>
        <w:ind w:firstLineChars="200"/>
        <w:jc w:val="both"/>
        <w:rPr>
          <w:rFonts w:ascii="宋体" w:hAnsi="宋体" w:eastAsia="宋体"/>
          <w:sz w:val="21"/>
          <w:szCs w:val="21"/>
        </w:rPr>
      </w:pPr>
      <w:r>
        <w:rPr>
          <w:rFonts w:ascii="宋体" w:hAnsi="宋体" w:eastAsia="宋体"/>
          <w:sz w:val="21"/>
          <w:szCs w:val="21"/>
        </w:rPr>
        <w:t>光报警采用背光点亮方式进行光报警，当事件恢复正常后报警自动结束</w:t>
      </w:r>
      <w:r>
        <w:rPr>
          <w:rFonts w:ascii="宋体" w:hAnsi="宋体" w:eastAsia="宋体"/>
          <w:color w:val="000000"/>
          <w:sz w:val="21"/>
          <w:szCs w:val="21"/>
        </w:rPr>
        <w:t>。</w:t>
      </w:r>
      <w:r>
        <w:rPr>
          <w:rFonts w:ascii="宋体" w:hAnsi="宋体" w:eastAsia="宋体"/>
          <w:sz w:val="21"/>
          <w:szCs w:val="21"/>
        </w:rPr>
        <w:t xml:space="preserve"> 背光点亮采用常亮方式，不采用闪烁方式。</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费控功能</w:t>
      </w:r>
    </w:p>
    <w:p>
      <w:pPr>
        <w:spacing w:before="24"/>
        <w:ind w:firstLineChars="200"/>
        <w:jc w:val="both"/>
        <w:rPr>
          <w:rFonts w:ascii="宋体" w:hAnsi="宋体" w:eastAsia="宋体"/>
          <w:sz w:val="21"/>
          <w:szCs w:val="21"/>
        </w:rPr>
      </w:pPr>
      <w:r>
        <w:rPr>
          <w:rFonts w:ascii="宋体" w:hAnsi="宋体" w:eastAsia="宋体"/>
          <w:sz w:val="21"/>
          <w:szCs w:val="21"/>
        </w:rPr>
        <w:t>电能表内置</w:t>
      </w:r>
      <w:r>
        <w:rPr>
          <w:rFonts w:ascii="Times New Roman" w:hAnsi="Times New Roman" w:eastAsia="Times New Roman"/>
          <w:sz w:val="21"/>
          <w:szCs w:val="21"/>
        </w:rPr>
        <w:t>ESAM</w:t>
      </w:r>
      <w:r>
        <w:rPr>
          <w:rFonts w:ascii="宋体" w:hAnsi="宋体" w:eastAsia="宋体"/>
          <w:sz w:val="21"/>
          <w:szCs w:val="21"/>
        </w:rPr>
        <w:t>模块和CPU卡座，具备本地费控功能，同时支持CPU卡固态介质以及虚拟介质远程实现充值、参数设置和控制。</w:t>
      </w:r>
    </w:p>
    <w:p>
      <w:pPr>
        <w:spacing w:before="24"/>
        <w:ind w:firstLineChars="200"/>
        <w:jc w:val="both"/>
        <w:rPr>
          <w:rFonts w:ascii="宋体" w:hAnsi="宋体" w:eastAsia="宋体"/>
          <w:sz w:val="21"/>
          <w:szCs w:val="21"/>
        </w:rPr>
      </w:pPr>
      <w:r>
        <w:rPr>
          <w:rFonts w:ascii="宋体" w:hAnsi="宋体" w:eastAsia="宋体"/>
          <w:sz w:val="21"/>
          <w:szCs w:val="21"/>
        </w:rPr>
        <w:t>电能表也可通过主站或售电系统下发拉闸命令，经</w:t>
      </w:r>
      <w:r>
        <w:rPr>
          <w:rFonts w:ascii="Times New Roman" w:hAnsi="Times New Roman" w:eastAsia="Times New Roman"/>
          <w:sz w:val="21"/>
          <w:szCs w:val="21"/>
        </w:rPr>
        <w:t>ESAM</w:t>
      </w:r>
      <w:r>
        <w:rPr>
          <w:rFonts w:ascii="宋体" w:hAnsi="宋体" w:eastAsia="宋体"/>
          <w:sz w:val="21"/>
          <w:szCs w:val="21"/>
        </w:rPr>
        <w:t>严格的密码验证及安全认证后，对电能表进行拉合闸控制。具有内置负荷开关，可以实现远程断送电。开关动作，中断供电</w:t>
      </w:r>
      <w:r>
        <w:rPr>
          <w:rFonts w:ascii="宋体" w:hAnsi="宋体" w:eastAsia="宋体"/>
          <w:color w:val="000000"/>
          <w:sz w:val="21"/>
          <w:szCs w:val="21"/>
        </w:rPr>
        <w:t>。</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color w:val="000000"/>
          <w:sz w:val="21"/>
          <w:szCs w:val="21"/>
        </w:rPr>
        <w:t>费控指示</w:t>
      </w:r>
    </w:p>
    <w:p>
      <w:pPr>
        <w:spacing w:after="93"/>
        <w:ind w:firstLine="420"/>
        <w:jc w:val="both"/>
        <w:rPr>
          <w:rFonts w:ascii="宋体" w:hAnsi="宋体" w:eastAsia="宋体"/>
          <w:sz w:val="21"/>
          <w:szCs w:val="21"/>
        </w:rPr>
      </w:pPr>
      <w:r>
        <w:rPr>
          <w:rFonts w:ascii="宋体" w:hAnsi="宋体" w:eastAsia="宋体"/>
          <w:sz w:val="21"/>
          <w:szCs w:val="21"/>
        </w:rPr>
        <w:t>电能表收到远程报警命令后，“请购电”字符闪烁，电能表收到远程拉闸命令后，在跳闸前的延时过程中，“拉闸”字符闪烁，跳闸指示灯灭，跳闸延时时间到，“拉闸”字符停止闪烁。跳闸指示灯亮。</w:t>
      </w:r>
    </w:p>
    <w:p>
      <w:pPr>
        <w:spacing w:after="93"/>
        <w:ind w:firstLine="420"/>
        <w:jc w:val="both"/>
        <w:rPr>
          <w:rFonts w:ascii="宋体" w:hAnsi="宋体" w:eastAsia="宋体"/>
          <w:sz w:val="21"/>
          <w:szCs w:val="21"/>
        </w:rPr>
      </w:pPr>
      <w:r>
        <w:rPr>
          <w:rFonts w:ascii="宋体" w:hAnsi="宋体" w:eastAsia="宋体"/>
          <w:sz w:val="21"/>
          <w:szCs w:val="21"/>
        </w:rPr>
      </w:r>
    </w:p>
    <w:p>
      <w:pPr>
        <w:spacing w:after="93"/>
        <w:ind w:firstLine="420"/>
        <w:jc w:val="both"/>
        <w:rPr>
          <w:rFonts w:ascii="宋体" w:hAnsi="宋体" w:eastAsia="宋体"/>
          <w:sz w:val="21"/>
          <w:szCs w:val="21"/>
        </w:rPr>
      </w:pPr>
      <w:r>
        <w:rPr>
          <w:rFonts w:ascii="宋体" w:hAnsi="宋体" w:eastAsia="宋体"/>
          <w:sz w:val="21"/>
          <w:szCs w:val="21"/>
        </w:rPr>
      </w:r>
    </w:p>
    <w:p>
      <w:pPr>
        <w:spacing w:after="93"/>
        <w:ind w:firstLine="420"/>
        <w:jc w:val="both"/>
        <w:rPr>
          <w:rFonts w:ascii="宋体" w:hAnsi="宋体" w:eastAsia="宋体"/>
          <w:sz w:val="21"/>
          <w:szCs w:val="21"/>
        </w:rPr>
      </w:pPr>
      <w:r>
        <w:rPr>
          <w:rFonts w:ascii="宋体" w:hAnsi="宋体" w:eastAsia="宋体"/>
          <w:sz w:val="21"/>
          <w:szCs w:val="21"/>
        </w:rPr>
      </w:r>
    </w:p>
    <w:p>
      <w:pPr>
        <w:pStyle w:val="heading1"/>
        <w:numPr>
          <w:ilvl w:val="0"/>
          <w:numId w:val="37"/>
        </w:numPr>
        <w:snapToGrid w:val="true"/>
        <w:spacing w:before="312" w:after="312"/>
        <w:ind w:firstLine="0"/>
        <w:jc w:val="both"/>
        <w:rPr>
          <w:rFonts w:ascii="宋体" w:hAnsi="宋体" w:eastAsia="宋体"/>
        </w:rPr>
      </w:pPr>
      <w:r>
        <w:rPr>
          <w:rFonts w:hint="eastAsia"/>
        </w:rPr>
      </w:r>
      <w:r>
        <w:rPr>
          <w:rFonts w:ascii="黑体" w:hAnsi="黑体" w:eastAsia="黑体"/>
        </w:rPr>
        <w:t>操作说明</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显示界面</w:t>
      </w:r>
    </w:p>
    <w:p>
      <w:pPr>
        <w:spacing/>
        <w:ind/>
        <w:jc w:val="center"/>
        <w:rPr>
          <w:rFonts w:ascii="微软雅黑" w:hAnsi="微软雅黑" w:eastAsia="微软雅黑"/>
          <w:sz w:val="21"/>
          <w:szCs w:val="21"/>
        </w:rPr>
      </w:pPr>
      <w:r>
        <w:rPr>
          <w:rFonts w:ascii="宋体" w:hAnsi="宋体" w:eastAsia="宋体"/>
          <w:sz w:val="21"/>
          <w:szCs w:val="21"/>
        </w:rPr>
      </w:r>
    </w:p>
    <w:p>
      <w:pPr>
        <w:spacing w:before="156" w:after="156"/>
        <w:ind/>
        <w:jc w:val="center"/>
        <w:rPr>
          <w:rFonts w:ascii="宋体" w:hAnsi="宋体" w:eastAsia="宋体"/>
          <w:sz w:val="21"/>
          <w:szCs w:val="21"/>
        </w:rPr>
      </w:pPr>
      <w:r>
        <w:rPr>
          <w:rFonts w:ascii="黑体" w:hAnsi="黑体" w:eastAsia="黑体"/>
          <w:sz w:val="21"/>
          <w:szCs w:val="21"/>
        </w:rPr>
        <w:t xml:space="preserve">图 </w:t>
      </w:r>
      <w:r>
        <w:rPr>
          <w:rFonts w:ascii="黑体" w:hAnsi="黑体" w:eastAsia="黑体"/>
          <w:sz w:val="21"/>
          <w:szCs w:val="21"/>
        </w:rPr>
      </w:r>
      <w:r>
        <w:rPr>
          <w:rFonts w:ascii="黑体" w:hAnsi="黑体" w:eastAsia="黑体"/>
          <w:sz w:val="21"/>
          <w:szCs w:val="21"/>
        </w:rPr>
      </w:r>
      <w:r>
        <w:rPr>
          <w:rFonts w:ascii="黑体" w:hAnsi="黑体" w:eastAsia="黑体"/>
          <w:sz w:val="21"/>
          <w:szCs w:val="21"/>
        </w:rPr>
        <w:t>5</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1</w:t>
      </w:r>
      <w:r>
        <w:rPr>
          <w:rFonts w:ascii="黑体" w:hAnsi="黑体" w:eastAsia="黑体"/>
          <w:sz w:val="21"/>
          <w:szCs w:val="21"/>
        </w:rPr>
      </w:r>
      <w:r>
        <w:rPr>
          <w:rFonts w:ascii="黑体" w:hAnsi="黑体" w:eastAsia="黑体"/>
          <w:sz w:val="21"/>
          <w:szCs w:val="21"/>
        </w:rPr>
        <w:t>显示界面</w:t>
      </w:r>
    </w:p>
    <w:p>
      <w:pPr>
        <w:spacing w:before="156" w:after="156"/>
        <w:ind/>
        <w:jc w:val="center"/>
        <w:rPr>
          <w:rFonts w:ascii="宋体" w:hAnsi="宋体" w:eastAsia="宋体"/>
          <w:sz w:val="21"/>
          <w:szCs w:val="21"/>
        </w:rPr>
      </w:pPr>
      <w:r>
        <w:rPr>
          <w:rFonts w:ascii="黑体" w:hAnsi="黑体" w:eastAsia="黑体"/>
          <w:sz w:val="21"/>
          <w:szCs w:val="21"/>
        </w:rPr>
        <w:t xml:space="preserve">表 </w:t>
      </w:r>
      <w:r>
        <w:rPr>
          <w:rFonts w:ascii="黑体" w:hAnsi="黑体" w:eastAsia="黑体"/>
          <w:sz w:val="21"/>
          <w:szCs w:val="21"/>
        </w:rPr>
      </w:r>
      <w:r>
        <w:rPr>
          <w:rFonts w:ascii="黑体" w:hAnsi="黑体" w:eastAsia="黑体"/>
          <w:sz w:val="21"/>
          <w:szCs w:val="21"/>
        </w:rPr>
      </w:r>
      <w:r>
        <w:rPr>
          <w:rFonts w:ascii="黑体" w:hAnsi="黑体" w:eastAsia="黑体"/>
          <w:sz w:val="21"/>
          <w:szCs w:val="21"/>
        </w:rPr>
        <w:t>5</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1</w:t>
      </w:r>
      <w:r>
        <w:rPr>
          <w:rFonts w:ascii="黑体" w:hAnsi="黑体" w:eastAsia="黑体"/>
          <w:sz w:val="21"/>
          <w:szCs w:val="21"/>
        </w:rPr>
      </w:r>
      <w:r>
        <w:rPr>
          <w:rFonts w:ascii="黑体" w:hAnsi="黑体" w:eastAsia="黑体"/>
          <w:sz w:val="21"/>
          <w:szCs w:val="21"/>
        </w:rPr>
        <w:t>显示图形、符号说明</w:t>
      </w:r>
    </w:p>
    <w:tbl>
      <w:tblPr>
        <w:tblStyle w:val="a7"/>
        <w:tblW w:w="0" w:type="auto"/>
        <w:tblInd w:w="600"/>
        <w:tblLook w:firstRow="1" w:lastRow="0" w:firstColumn="1" w:lastColumn="0" w:noHBand="0" w:noVBand="1" w:val="04A0"/>
      </w:tblPr>
      <w:tblGrid>
        <w:gridCol w:w="600"/>
        <w:gridCol w:w="4290"/>
        <w:gridCol w:w="4500"/>
      </w:tblGrid>
      <w:tr>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left"/>
              <w:rPr>
                <w:rFonts w:ascii="宋体" w:hAnsi="宋体" w:eastAsia="宋体"/>
                <w:sz w:val="18"/>
                <w:szCs w:val="18"/>
              </w:rPr>
            </w:pPr>
            <w:r>
              <w:rPr>
                <w:rFonts w:ascii="宋体" w:hAnsi="宋体" w:eastAsia="宋体"/>
                <w:color w:val="000000"/>
                <w:sz w:val="18"/>
                <w:szCs w:val="18"/>
              </w:rPr>
              <w:t>序号</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LCD图形</w:t>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宋体" w:hAnsi="宋体" w:eastAsia="宋体"/>
                <w:color w:val="000000"/>
                <w:sz w:val="18"/>
                <w:szCs w:val="18"/>
              </w:rPr>
              <w:t>说明</w:t>
            </w:r>
          </w:p>
        </w:tc>
      </w:tr>
      <w:tr>
        <w:trPr>
          <w:trHeight w:val="1110"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center"/>
              <w:rPr>
                <w:rFonts w:ascii="微软雅黑" w:hAnsi="微软雅黑" w:eastAsia="微软雅黑"/>
                <w:sz w:val="24"/>
                <w:szCs w:val="24"/>
              </w:rPr>
            </w:pPr>
            <w:r>
              <w:rPr>
                <w:rFonts w:ascii="宋体" w:hAnsi="宋体" w:eastAsia="宋体"/>
                <w:sz w:val="18"/>
                <w:szCs w:val="18"/>
              </w:rPr>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宋体" w:hAnsi="宋体" w:eastAsia="宋体"/>
                <w:color w:val="000000"/>
                <w:sz w:val="18"/>
                <w:szCs w:val="18"/>
              </w:rPr>
              <w:t>当前运行象限指示</w:t>
            </w:r>
          </w:p>
        </w:tc>
      </w:tr>
      <w:tr>
        <w:trPr>
          <w:trHeight w:val="2385"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微软雅黑" w:hAnsi="微软雅黑" w:eastAsia="微软雅黑"/>
                <w:sz w:val="21"/>
                <w:szCs w:val="21"/>
              </w:rPr>
              <w:drawing>
                <wp:inline distT="0" distB="0" distL="0" distR="0">
                  <wp:extent cx="2533650" cy="542925"/>
                  <wp:effectExtent l="0" t="0" r="0" b="0"/>
                  <wp:docPr id="3" name="" descr=""/>
                  <wp:cNvGraphicFramePr>
                    <a:graphicFrameLocks noChangeAspect="true"/>
                  </wp:cNvGraphicFramePr>
                  <a:graphic>
                    <a:graphicData uri="http://schemas.openxmlformats.org/drawingml/2006/picture">
                      <pic:pic>
                        <pic:nvPicPr>
                          <pic:cNvPr id="3" name=""/>
                          <pic:cNvPicPr/>
                        </pic:nvPicPr>
                        <pic:blipFill>
                          <a:blip r:embed="rId37"/>
                          <a:stretch>
                            <a:fillRect/>
                          </a:stretch>
                        </pic:blipFill>
                        <pic:spPr>
                          <a:xfrm>
                            <a:off x="0" y="0"/>
                            <a:ext cx="2533650" cy="542925"/>
                          </a:xfrm>
                          <a:prstGeom prst="rect">
                            <a:avLst/>
                          </a:prstGeom>
                        </pic:spPr>
                      </pic:pic>
                    </a:graphicData>
                  </a:graphic>
                </wp:inline>
              </w:drawing>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Times New Roman" w:hAnsi="Times New Roman" w:eastAsia="Times New Roman"/>
                <w:color w:val="000000"/>
                <w:sz w:val="18"/>
                <w:szCs w:val="18"/>
              </w:rPr>
            </w:pPr>
            <w:r>
              <w:rPr>
                <w:rFonts w:ascii="宋体" w:hAnsi="宋体" w:eastAsia="宋体"/>
                <w:color w:val="000000"/>
                <w:sz w:val="18"/>
                <w:szCs w:val="18"/>
              </w:rPr>
              <w:t>汉字字符，可指示：</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）当前、上</w:t>
            </w:r>
            <w:r>
              <w:rPr>
                <w:rFonts w:ascii="Times New Roman" w:hAnsi="Times New Roman" w:eastAsia="Times New Roman"/>
                <w:color w:val="000000"/>
                <w:sz w:val="18"/>
                <w:szCs w:val="18"/>
              </w:rPr>
              <w:t>1</w:t>
            </w:r>
            <w:r>
              <w:rPr>
                <w:rFonts w:ascii="宋体" w:hAnsi="宋体" w:eastAsia="宋体"/>
                <w:color w:val="000000"/>
                <w:sz w:val="18"/>
                <w:szCs w:val="18"/>
              </w:rPr>
              <w:t>月</w:t>
            </w:r>
            <w:r>
              <w:rPr>
                <w:rFonts w:ascii="Times New Roman" w:hAnsi="Times New Roman" w:eastAsia="Times New Roman"/>
                <w:color w:val="000000"/>
                <w:sz w:val="18"/>
                <w:szCs w:val="18"/>
              </w:rPr>
              <w:t>-</w:t>
            </w:r>
            <w:r>
              <w:rPr>
                <w:rFonts w:ascii="宋体" w:hAnsi="宋体" w:eastAsia="宋体"/>
                <w:color w:val="000000"/>
                <w:sz w:val="18"/>
                <w:szCs w:val="18"/>
              </w:rPr>
              <w:t>上</w:t>
            </w:r>
            <w:r>
              <w:rPr>
                <w:rFonts w:ascii="Times New Roman" w:hAnsi="Times New Roman" w:eastAsia="Times New Roman"/>
                <w:color w:val="000000"/>
                <w:sz w:val="18"/>
                <w:szCs w:val="18"/>
              </w:rPr>
              <w:t>12</w:t>
            </w:r>
            <w:r>
              <w:rPr>
                <w:rFonts w:ascii="宋体" w:hAnsi="宋体" w:eastAsia="宋体"/>
                <w:color w:val="000000"/>
                <w:sz w:val="18"/>
                <w:szCs w:val="18"/>
              </w:rPr>
              <w:t>月的正反向有功电量，组合有功或无功电量，Ⅰ、Ⅱ、Ⅲ、Ⅳ象限无功电量，最大需量，最大需量发生时间</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2</w:t>
            </w:r>
            <w:r>
              <w:rPr>
                <w:rFonts w:ascii="宋体" w:hAnsi="宋体" w:eastAsia="宋体"/>
                <w:color w:val="000000"/>
                <w:sz w:val="18"/>
                <w:szCs w:val="18"/>
              </w:rPr>
              <w:t>）时间、时段</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3</w:t>
            </w:r>
            <w:r>
              <w:rPr>
                <w:rFonts w:ascii="宋体" w:hAnsi="宋体" w:eastAsia="宋体"/>
                <w:color w:val="000000"/>
                <w:sz w:val="18"/>
                <w:szCs w:val="18"/>
              </w:rPr>
              <w:t>）分相电压、电流、功率、功率因数</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4</w:t>
            </w:r>
            <w:r>
              <w:rPr>
                <w:rFonts w:ascii="宋体" w:hAnsi="宋体" w:eastAsia="宋体"/>
                <w:color w:val="000000"/>
                <w:sz w:val="18"/>
                <w:szCs w:val="18"/>
              </w:rPr>
              <w:t>）失压、失流事件纪录</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5</w:t>
            </w:r>
            <w:r>
              <w:rPr>
                <w:rFonts w:ascii="宋体" w:hAnsi="宋体" w:eastAsia="宋体"/>
                <w:color w:val="000000"/>
                <w:sz w:val="18"/>
                <w:szCs w:val="18"/>
              </w:rPr>
              <w:t>）阶梯电价、电量</w:t>
            </w:r>
          </w:p>
          <w:p>
            <w:pPr>
              <w:spacing w:before="60" w:after="60"/>
              <w:ind w:leftChars="100"/>
              <w:jc w:val="left"/>
              <w:rPr>
                <w:rFonts w:ascii="宋体" w:hAnsi="宋体" w:eastAsia="宋体"/>
                <w:sz w:val="18"/>
                <w:szCs w:val="18"/>
              </w:rPr>
            </w:pPr>
            <w:r>
              <w:rPr>
                <w:rFonts w:ascii="Times New Roman" w:hAnsi="Times New Roman" w:eastAsia="Times New Roman"/>
                <w:color w:val="000000"/>
                <w:sz w:val="18"/>
                <w:szCs w:val="18"/>
              </w:rPr>
              <w:t>6</w:t>
            </w:r>
            <w:r>
              <w:rPr>
                <w:rFonts w:ascii="宋体" w:hAnsi="宋体" w:eastAsia="宋体"/>
                <w:color w:val="000000"/>
                <w:sz w:val="18"/>
                <w:szCs w:val="18"/>
              </w:rPr>
              <w:t>）</w:t>
            </w:r>
            <w:r>
              <w:rPr>
                <w:rFonts w:ascii="Times New Roman" w:hAnsi="Times New Roman" w:eastAsia="Times New Roman"/>
                <w:color w:val="000000"/>
                <w:sz w:val="18"/>
                <w:szCs w:val="18"/>
              </w:rPr>
              <w:t xml:space="preserve"> </w:t>
            </w:r>
            <w:r>
              <w:rPr>
                <w:rFonts w:ascii="宋体" w:hAnsi="宋体" w:eastAsia="宋体"/>
                <w:color w:val="000000"/>
                <w:sz w:val="18"/>
                <w:szCs w:val="18"/>
              </w:rPr>
              <w:t>剩余电量（费），尖、峰、平、谷、电价</w:t>
            </w:r>
          </w:p>
        </w:tc>
      </w:tr>
      <w:tr>
        <w:trPr>
          <w:trHeight w:val="1005"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center"/>
              <w:rPr>
                <w:rFonts w:ascii="微软雅黑" w:hAnsi="微软雅黑" w:eastAsia="微软雅黑"/>
                <w:sz w:val="24"/>
                <w:szCs w:val="24"/>
              </w:rPr>
            </w:pPr>
            <w:r>
              <w:rPr>
                <w:rFonts w:ascii="宋体" w:hAnsi="宋体" w:eastAsia="宋体"/>
                <w:sz w:val="18"/>
                <w:szCs w:val="18"/>
              </w:rPr>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left"/>
              <w:rPr>
                <w:rFonts w:ascii="宋体" w:hAnsi="宋体" w:eastAsia="宋体"/>
                <w:sz w:val="18"/>
                <w:szCs w:val="18"/>
              </w:rPr>
            </w:pPr>
            <w:r>
              <w:rPr>
                <w:rFonts w:ascii="宋体" w:hAnsi="宋体" w:eastAsia="宋体"/>
                <w:color w:val="000000"/>
                <w:sz w:val="18"/>
                <w:szCs w:val="18"/>
              </w:rPr>
              <w:t>数据显示及对应的单位符号</w:t>
            </w:r>
            <w:r>
              <w:rPr>
                <w:rFonts w:ascii="Times New Roman" w:hAnsi="Times New Roman" w:eastAsia="Times New Roman"/>
                <w:color w:val="000000"/>
                <w:sz w:val="18"/>
                <w:szCs w:val="18"/>
              </w:rPr>
              <w:t xml:space="preserve">  </w:t>
            </w:r>
          </w:p>
        </w:tc>
      </w:tr>
      <w:tr>
        <w:trPr>
          <w:trHeight w:val="1230"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center"/>
              <w:rPr>
                <w:rFonts w:ascii="微软雅黑" w:hAnsi="微软雅黑" w:eastAsia="微软雅黑"/>
                <w:sz w:val="24"/>
                <w:szCs w:val="24"/>
              </w:rPr>
            </w:pPr>
            <w:r>
              <w:rPr>
                <w:rFonts w:ascii="宋体" w:hAnsi="宋体" w:eastAsia="宋体"/>
                <w:sz w:val="18"/>
                <w:szCs w:val="18"/>
              </w:rPr>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left"/>
              <w:rPr>
                <w:rFonts w:ascii="宋体" w:hAnsi="宋体" w:eastAsia="宋体"/>
                <w:sz w:val="18"/>
                <w:szCs w:val="18"/>
              </w:rPr>
            </w:pPr>
            <w:r>
              <w:rPr>
                <w:rFonts w:ascii="宋体" w:hAnsi="宋体" w:eastAsia="宋体"/>
                <w:color w:val="000000"/>
                <w:sz w:val="18"/>
                <w:szCs w:val="18"/>
              </w:rPr>
              <w:t>上排显示轮显</w:t>
            </w:r>
            <w:r>
              <w:rPr>
                <w:rFonts w:ascii="Times New Roman" w:hAnsi="Times New Roman" w:eastAsia="Times New Roman"/>
                <w:color w:val="000000"/>
                <w:sz w:val="18"/>
                <w:szCs w:val="18"/>
              </w:rPr>
              <w:t>/</w:t>
            </w:r>
            <w:r>
              <w:rPr>
                <w:rFonts w:ascii="宋体" w:hAnsi="宋体" w:eastAsia="宋体"/>
                <w:color w:val="000000"/>
                <w:sz w:val="18"/>
                <w:szCs w:val="18"/>
              </w:rPr>
              <w:t>键显数据对应的数据标识，下排显示轮显</w:t>
            </w:r>
            <w:r>
              <w:rPr>
                <w:rFonts w:ascii="Times New Roman" w:hAnsi="Times New Roman" w:eastAsia="Times New Roman"/>
                <w:color w:val="000000"/>
                <w:sz w:val="18"/>
                <w:szCs w:val="18"/>
              </w:rPr>
              <w:t>/</w:t>
            </w:r>
            <w:r>
              <w:rPr>
                <w:rFonts w:ascii="宋体" w:hAnsi="宋体" w:eastAsia="宋体"/>
                <w:color w:val="000000"/>
                <w:sz w:val="18"/>
                <w:szCs w:val="18"/>
              </w:rPr>
              <w:t>键显数据在对应数据标识的组成序号，具体见</w:t>
            </w:r>
            <w:r>
              <w:rPr>
                <w:rFonts w:ascii="Times New Roman" w:hAnsi="Times New Roman" w:eastAsia="Times New Roman"/>
                <w:color w:val="000000"/>
                <w:sz w:val="18"/>
                <w:szCs w:val="18"/>
              </w:rPr>
              <w:t>DL/T 645</w:t>
            </w:r>
            <w:r>
              <w:rPr>
                <w:rFonts w:ascii="宋体" w:hAnsi="宋体" w:eastAsia="宋体"/>
                <w:color w:val="000000"/>
                <w:sz w:val="18"/>
                <w:szCs w:val="18"/>
              </w:rPr>
              <w:t>－</w:t>
            </w:r>
            <w:r>
              <w:rPr>
                <w:rFonts w:ascii="Times New Roman" w:hAnsi="Times New Roman" w:eastAsia="Times New Roman"/>
                <w:color w:val="000000"/>
                <w:sz w:val="18"/>
                <w:szCs w:val="18"/>
              </w:rPr>
              <w:t>2007</w:t>
            </w:r>
          </w:p>
        </w:tc>
      </w:tr>
      <w:tr>
        <w:trPr>
          <w:trHeight w:val="3330"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Times New Roman" w:hAnsi="Times New Roman" w:eastAsia="Times New Roman"/>
                <w:color w:val="000000"/>
                <w:sz w:val="18"/>
                <w:szCs w:val="18"/>
              </w:rPr>
            </w:pPr>
            <w:r>
              <w:rPr>
                <w:rFonts w:ascii="微软雅黑" w:hAnsi="微软雅黑" w:eastAsia="微软雅黑"/>
                <w:sz w:val="21"/>
                <w:szCs w:val="21"/>
              </w:rPr>
              <w:drawing>
                <wp:inline distT="0" distB="0" distL="0" distR="0">
                  <wp:extent cx="2457450" cy="781050"/>
                  <wp:effectExtent l="0" t="0" r="0" b="0"/>
                  <wp:docPr id="4" name="" descr=""/>
                  <wp:cNvGraphicFramePr>
                    <a:graphicFrameLocks noChangeAspect="true"/>
                  </wp:cNvGraphicFramePr>
                  <a:graphic>
                    <a:graphicData uri="http://schemas.openxmlformats.org/drawingml/2006/picture">
                      <pic:pic>
                        <pic:nvPicPr>
                          <pic:cNvPr id="4" name=""/>
                          <pic:cNvPicPr/>
                        </pic:nvPicPr>
                        <pic:blipFill>
                          <a:blip r:embed="rId38"/>
                          <a:stretch>
                            <a:fillRect/>
                          </a:stretch>
                        </pic:blipFill>
                        <pic:spPr>
                          <a:xfrm>
                            <a:off x="0" y="0"/>
                            <a:ext cx="2457450" cy="781050"/>
                          </a:xfrm>
                          <a:prstGeom prst="rect">
                            <a:avLst/>
                          </a:prstGeom>
                        </pic:spPr>
                      </pic:pic>
                    </a:graphicData>
                  </a:graphic>
                </wp:inline>
              </w:drawing>
            </w:r>
          </w:p>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 xml:space="preserve">  </w:t>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Times New Roman" w:hAnsi="Times New Roman" w:eastAsia="Times New Roman"/>
                <w:color w:val="000000"/>
                <w:sz w:val="18"/>
                <w:szCs w:val="18"/>
              </w:rPr>
            </w:pPr>
            <w:r>
              <w:rPr>
                <w:rFonts w:ascii="宋体" w:hAnsi="宋体" w:eastAsia="宋体"/>
                <w:color w:val="000000"/>
                <w:sz w:val="18"/>
                <w:szCs w:val="18"/>
              </w:rPr>
              <w:t>从左向右依次为：</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①②代表第</w:t>
            </w: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2</w:t>
            </w:r>
            <w:r>
              <w:rPr>
                <w:rFonts w:ascii="宋体" w:hAnsi="宋体" w:eastAsia="宋体"/>
                <w:color w:val="000000"/>
                <w:sz w:val="18"/>
                <w:szCs w:val="18"/>
              </w:rPr>
              <w:t>套时段</w:t>
            </w:r>
            <w:r>
              <w:rPr>
                <w:rFonts w:ascii="Times New Roman" w:hAnsi="Times New Roman" w:eastAsia="Times New Roman"/>
                <w:color w:val="000000"/>
                <w:sz w:val="18"/>
                <w:szCs w:val="18"/>
              </w:rPr>
              <w:t>/</w:t>
            </w:r>
            <w:r>
              <w:rPr>
                <w:rFonts w:ascii="宋体" w:hAnsi="宋体" w:eastAsia="宋体"/>
                <w:color w:val="000000"/>
                <w:sz w:val="18"/>
                <w:szCs w:val="18"/>
              </w:rPr>
              <w:t>费率，默认为时段</w:t>
            </w:r>
          </w:p>
          <w:p>
            <w:pPr>
              <w:spacing/>
              <w:ind/>
              <w:jc w:val="left"/>
              <w:rPr>
                <w:rFonts w:ascii="微软雅黑" w:hAnsi="微软雅黑" w:eastAsia="微软雅黑"/>
                <w:sz w:val="24"/>
                <w:szCs w:val="24"/>
              </w:rPr>
            </w:pPr>
            <w:r>
              <w:rPr>
                <w:rFonts w:ascii="Times New Roman" w:hAnsi="Times New Roman" w:eastAsia="Times New Roman"/>
                <w:color w:val="000000"/>
                <w:sz w:val="18"/>
                <w:szCs w:val="18"/>
              </w:rPr>
              <w:t>2）时钟电池欠压指示</w:t>
            </w:r>
          </w:p>
          <w:p>
            <w:pPr>
              <w:spacing/>
              <w:ind/>
              <w:jc w:val="left"/>
              <w:rPr>
                <w:rFonts w:ascii="微软雅黑" w:hAnsi="微软雅黑" w:eastAsia="微软雅黑"/>
                <w:sz w:val="24"/>
                <w:szCs w:val="24"/>
              </w:rPr>
            </w:pPr>
            <w:r>
              <w:rPr>
                <w:rFonts w:ascii="Times New Roman" w:hAnsi="Times New Roman" w:eastAsia="Times New Roman"/>
                <w:color w:val="000000"/>
                <w:sz w:val="18"/>
                <w:szCs w:val="18"/>
              </w:rPr>
              <w:t>3）停电抄表电池欠压指示</w:t>
            </w:r>
          </w:p>
          <w:p>
            <w:pPr>
              <w:spacing/>
              <w:ind/>
              <w:jc w:val="left"/>
              <w:rPr>
                <w:rFonts w:ascii="微软雅黑" w:hAnsi="微软雅黑" w:eastAsia="微软雅黑"/>
                <w:sz w:val="24"/>
                <w:szCs w:val="24"/>
              </w:rPr>
            </w:pPr>
            <w:r>
              <w:rPr>
                <w:rFonts w:ascii="Times New Roman" w:hAnsi="Times New Roman" w:eastAsia="Times New Roman"/>
                <w:color w:val="000000"/>
                <w:sz w:val="18"/>
                <w:szCs w:val="18"/>
              </w:rPr>
              <w:t>4）无线通信在线及信号强弱指示</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5）</w:t>
            </w:r>
            <w:r>
              <w:rPr>
                <w:rFonts w:ascii="宋体" w:hAnsi="宋体" w:eastAsia="宋体"/>
                <w:color w:val="000000"/>
                <w:sz w:val="18"/>
                <w:szCs w:val="18"/>
              </w:rPr>
              <w:t>模块通信中</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6）红外通信，如果同时显示</w:t>
            </w:r>
            <w:r>
              <w:rPr>
                <w:rFonts w:ascii="宋体" w:hAnsi="宋体" w:eastAsia="宋体"/>
                <w:color w:val="000000"/>
                <w:sz w:val="18"/>
                <w:szCs w:val="18"/>
              </w:rPr>
              <w:t>“</w:t>
            </w:r>
            <w:r>
              <w:rPr>
                <w:rFonts w:ascii="Times New Roman" w:hAnsi="Times New Roman" w:eastAsia="Times New Roman"/>
                <w:color w:val="000000"/>
                <w:sz w:val="18"/>
                <w:szCs w:val="18"/>
              </w:rPr>
              <w:t>1</w:t>
            </w:r>
            <w:r>
              <w:rPr>
                <w:rFonts w:ascii="宋体" w:hAnsi="宋体" w:eastAsia="宋体"/>
                <w:color w:val="000000"/>
                <w:sz w:val="18"/>
                <w:szCs w:val="18"/>
              </w:rPr>
              <w:t>”表示第</w:t>
            </w:r>
            <w:r>
              <w:rPr>
                <w:rFonts w:ascii="Times New Roman" w:hAnsi="Times New Roman" w:eastAsia="Times New Roman"/>
                <w:color w:val="000000"/>
                <w:sz w:val="18"/>
                <w:szCs w:val="18"/>
              </w:rPr>
              <w:t>1</w:t>
            </w:r>
            <w:r>
              <w:rPr>
                <w:rFonts w:ascii="宋体" w:hAnsi="宋体" w:eastAsia="宋体"/>
                <w:color w:val="000000"/>
                <w:sz w:val="18"/>
                <w:szCs w:val="18"/>
              </w:rPr>
              <w:t>路</w:t>
            </w:r>
            <w:r>
              <w:rPr>
                <w:rFonts w:ascii="Times New Roman" w:hAnsi="Times New Roman" w:eastAsia="Times New Roman"/>
                <w:color w:val="000000"/>
                <w:sz w:val="18"/>
                <w:szCs w:val="18"/>
              </w:rPr>
              <w:t>485</w:t>
            </w:r>
            <w:r>
              <w:rPr>
                <w:rFonts w:ascii="宋体" w:hAnsi="宋体" w:eastAsia="宋体"/>
                <w:color w:val="000000"/>
                <w:sz w:val="18"/>
                <w:szCs w:val="18"/>
              </w:rPr>
              <w:t>通信，显示“</w:t>
            </w:r>
            <w:r>
              <w:rPr>
                <w:rFonts w:ascii="Times New Roman" w:hAnsi="Times New Roman" w:eastAsia="Times New Roman"/>
                <w:color w:val="000000"/>
                <w:sz w:val="18"/>
                <w:szCs w:val="18"/>
              </w:rPr>
              <w:t>2</w:t>
            </w:r>
            <w:r>
              <w:rPr>
                <w:rFonts w:ascii="宋体" w:hAnsi="宋体" w:eastAsia="宋体"/>
                <w:color w:val="000000"/>
                <w:sz w:val="18"/>
                <w:szCs w:val="18"/>
              </w:rPr>
              <w:t>”表示第</w:t>
            </w:r>
            <w:r>
              <w:rPr>
                <w:rFonts w:ascii="Times New Roman" w:hAnsi="Times New Roman" w:eastAsia="Times New Roman"/>
                <w:color w:val="000000"/>
                <w:sz w:val="18"/>
                <w:szCs w:val="18"/>
              </w:rPr>
              <w:t>2</w:t>
            </w:r>
            <w:r>
              <w:rPr>
                <w:rFonts w:ascii="宋体" w:hAnsi="宋体" w:eastAsia="宋体"/>
                <w:color w:val="000000"/>
                <w:sz w:val="18"/>
                <w:szCs w:val="18"/>
              </w:rPr>
              <w:t>路</w:t>
            </w:r>
            <w:r>
              <w:rPr>
                <w:rFonts w:ascii="Times New Roman" w:hAnsi="Times New Roman" w:eastAsia="Times New Roman"/>
                <w:color w:val="000000"/>
                <w:sz w:val="18"/>
                <w:szCs w:val="18"/>
              </w:rPr>
              <w:t>485</w:t>
            </w:r>
            <w:r>
              <w:rPr>
                <w:rFonts w:ascii="宋体" w:hAnsi="宋体" w:eastAsia="宋体"/>
                <w:color w:val="000000"/>
                <w:sz w:val="18"/>
                <w:szCs w:val="18"/>
              </w:rPr>
              <w:t>通信</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7）</w:t>
            </w:r>
            <w:r>
              <w:rPr>
                <w:rFonts w:ascii="宋体" w:hAnsi="宋体" w:eastAsia="宋体"/>
                <w:color w:val="000000"/>
                <w:sz w:val="18"/>
                <w:szCs w:val="18"/>
              </w:rPr>
              <w:t>红外认证有效指示</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8）</w:t>
            </w:r>
            <w:r>
              <w:rPr>
                <w:rFonts w:ascii="宋体" w:hAnsi="宋体" w:eastAsia="宋体"/>
                <w:color w:val="000000"/>
                <w:sz w:val="18"/>
                <w:szCs w:val="18"/>
              </w:rPr>
              <w:t>电能表挂起指示</w:t>
            </w:r>
          </w:p>
          <w:p>
            <w:pPr>
              <w:spacing w:before="60" w:after="60"/>
              <w:ind w:leftChars="100"/>
              <w:jc w:val="left"/>
              <w:rPr>
                <w:rFonts w:ascii="宋体" w:hAnsi="宋体" w:eastAsia="宋体"/>
                <w:sz w:val="18"/>
                <w:szCs w:val="18"/>
              </w:rPr>
            </w:pPr>
            <w:r>
              <w:rPr>
                <w:rFonts w:ascii="Times New Roman" w:hAnsi="Times New Roman" w:eastAsia="Times New Roman"/>
                <w:color w:val="000000"/>
                <w:sz w:val="18"/>
                <w:szCs w:val="18"/>
              </w:rPr>
              <w:t>9）实验室状态，</w:t>
            </w:r>
            <w:r>
              <w:rPr>
                <w:rFonts w:ascii="宋体" w:hAnsi="宋体" w:eastAsia="宋体"/>
                <w:color w:val="000000"/>
                <w:sz w:val="18"/>
                <w:szCs w:val="18"/>
              </w:rPr>
              <w:t>显示时为测试密钥状态，不显示为正式密钥状态</w:t>
            </w:r>
          </w:p>
          <w:p>
            <w:pPr>
              <w:spacing w:before="60" w:after="60"/>
              <w:ind/>
              <w:jc w:val="left"/>
              <w:rPr>
                <w:rFonts w:ascii="宋体" w:hAnsi="宋体" w:eastAsia="宋体"/>
                <w:sz w:val="18"/>
                <w:szCs w:val="18"/>
              </w:rPr>
            </w:pPr>
            <w:r>
              <w:rPr>
                <w:rFonts w:ascii="Times New Roman" w:hAnsi="Times New Roman" w:eastAsia="Times New Roman"/>
                <w:color w:val="000000"/>
                <w:sz w:val="18"/>
                <w:szCs w:val="18"/>
              </w:rPr>
              <w:t>10）报警指示</w:t>
            </w:r>
          </w:p>
        </w:tc>
      </w:tr>
      <w:tr>
        <w:trPr>
          <w:trHeight w:val="1635"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微软雅黑" w:hAnsi="微软雅黑" w:eastAsia="微软雅黑"/>
                <w:sz w:val="21"/>
                <w:szCs w:val="21"/>
              </w:rPr>
              <w:drawing>
                <wp:inline distT="0" distB="0" distL="0" distR="0">
                  <wp:extent cx="2495550" cy="638175"/>
                  <wp:effectExtent l="0" t="0" r="0" b="0"/>
                  <wp:docPr id="5" name="" descr=""/>
                  <wp:cNvGraphicFramePr>
                    <a:graphicFrameLocks noChangeAspect="true"/>
                  </wp:cNvGraphicFramePr>
                  <a:graphic>
                    <a:graphicData uri="http://schemas.openxmlformats.org/drawingml/2006/picture">
                      <pic:pic>
                        <pic:nvPicPr>
                          <pic:cNvPr id="5" name=""/>
                          <pic:cNvPicPr/>
                        </pic:nvPicPr>
                        <pic:blipFill>
                          <a:blip r:embed="rId39"/>
                          <a:stretch>
                            <a:fillRect/>
                          </a:stretch>
                        </pic:blipFill>
                        <pic:spPr>
                          <a:xfrm>
                            <a:off x="0" y="0"/>
                            <a:ext cx="2495550" cy="638175"/>
                          </a:xfrm>
                          <a:prstGeom prst="rect">
                            <a:avLst/>
                          </a:prstGeom>
                        </pic:spPr>
                      </pic:pic>
                    </a:graphicData>
                  </a:graphic>
                </wp:inline>
              </w:drawing>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IC</w:t>
            </w:r>
            <w:r>
              <w:rPr>
                <w:rFonts w:ascii="宋体" w:hAnsi="宋体" w:eastAsia="宋体"/>
                <w:color w:val="000000"/>
                <w:sz w:val="18"/>
                <w:szCs w:val="18"/>
              </w:rPr>
              <w:t>卡“读卡中”提示符</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2）IC</w:t>
            </w:r>
            <w:r>
              <w:rPr>
                <w:rFonts w:ascii="宋体" w:hAnsi="宋体" w:eastAsia="宋体"/>
                <w:color w:val="000000"/>
                <w:sz w:val="18"/>
                <w:szCs w:val="18"/>
              </w:rPr>
              <w:t>卡读卡“成功”提示符</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3</w:t>
            </w:r>
            <w:r>
              <w:rPr>
                <w:rFonts w:ascii="宋体" w:hAnsi="宋体" w:eastAsia="宋体"/>
                <w:color w:val="000000"/>
                <w:sz w:val="18"/>
                <w:szCs w:val="18"/>
              </w:rPr>
              <w:t>）</w:t>
            </w:r>
            <w:r>
              <w:rPr>
                <w:rFonts w:ascii="Times New Roman" w:hAnsi="Times New Roman" w:eastAsia="Times New Roman"/>
                <w:color w:val="000000"/>
                <w:sz w:val="18"/>
                <w:szCs w:val="18"/>
              </w:rPr>
              <w:t>IC</w:t>
            </w:r>
            <w:r>
              <w:rPr>
                <w:rFonts w:ascii="宋体" w:hAnsi="宋体" w:eastAsia="宋体"/>
                <w:color w:val="000000"/>
                <w:sz w:val="18"/>
                <w:szCs w:val="18"/>
              </w:rPr>
              <w:t>卡读卡“失败”提示符</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4）</w:t>
            </w:r>
            <w:r>
              <w:rPr>
                <w:rFonts w:ascii="宋体" w:hAnsi="宋体" w:eastAsia="宋体"/>
                <w:color w:val="000000"/>
                <w:sz w:val="18"/>
                <w:szCs w:val="18"/>
              </w:rPr>
              <w:t>“请购电”剩余金额偏低时闪烁</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5</w:t>
            </w:r>
            <w:r>
              <w:rPr>
                <w:rFonts w:ascii="宋体" w:hAnsi="宋体" w:eastAsia="宋体"/>
                <w:color w:val="000000"/>
                <w:sz w:val="18"/>
                <w:szCs w:val="18"/>
              </w:rPr>
              <w:t>）透支状态指示</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6</w:t>
            </w:r>
            <w:r>
              <w:rPr>
                <w:rFonts w:ascii="宋体" w:hAnsi="宋体" w:eastAsia="宋体"/>
                <w:color w:val="000000"/>
                <w:sz w:val="18"/>
                <w:szCs w:val="18"/>
              </w:rPr>
              <w:t>）继电器拉闸状态指示</w:t>
            </w:r>
          </w:p>
          <w:p>
            <w:pPr>
              <w:spacing w:before="60" w:after="60"/>
              <w:ind w:leftChars="100"/>
              <w:jc w:val="left"/>
              <w:rPr>
                <w:rFonts w:ascii="宋体" w:hAnsi="宋体" w:eastAsia="宋体"/>
                <w:sz w:val="18"/>
                <w:szCs w:val="18"/>
              </w:rPr>
            </w:pPr>
            <w:r>
              <w:rPr>
                <w:rFonts w:ascii="Times New Roman" w:hAnsi="Times New Roman" w:eastAsia="Times New Roman"/>
                <w:color w:val="000000"/>
                <w:sz w:val="18"/>
                <w:szCs w:val="18"/>
              </w:rPr>
              <w:t>7</w:t>
            </w:r>
            <w:r>
              <w:rPr>
                <w:rFonts w:ascii="宋体" w:hAnsi="宋体" w:eastAsia="宋体"/>
                <w:color w:val="000000"/>
                <w:sz w:val="18"/>
                <w:szCs w:val="18"/>
              </w:rPr>
              <w:t>）</w:t>
            </w:r>
            <w:r>
              <w:rPr>
                <w:rFonts w:ascii="Times New Roman" w:hAnsi="Times New Roman" w:eastAsia="Times New Roman"/>
                <w:color w:val="000000"/>
                <w:sz w:val="18"/>
                <w:szCs w:val="18"/>
              </w:rPr>
              <w:t>IC</w:t>
            </w:r>
            <w:r>
              <w:rPr>
                <w:rFonts w:ascii="宋体" w:hAnsi="宋体" w:eastAsia="宋体"/>
                <w:color w:val="000000"/>
                <w:sz w:val="18"/>
                <w:szCs w:val="18"/>
              </w:rPr>
              <w:t>卡金额超过最大费控金额时的状态指示（囤积）</w:t>
            </w:r>
          </w:p>
        </w:tc>
      </w:tr>
      <w:tr>
        <w:trPr>
          <w:trHeight w:val="2265"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微软雅黑" w:hAnsi="微软雅黑" w:eastAsia="微软雅黑"/>
                <w:sz w:val="21"/>
                <w:szCs w:val="21"/>
              </w:rPr>
              <w:drawing>
                <wp:inline distT="0" distB="0" distL="0" distR="0">
                  <wp:extent cx="2219325" cy="323850"/>
                  <wp:effectExtent l="0" t="0" r="0" b="0"/>
                  <wp:docPr id="6" name="" descr=""/>
                  <wp:cNvGraphicFramePr>
                    <a:graphicFrameLocks noChangeAspect="true"/>
                  </wp:cNvGraphicFramePr>
                  <a:graphic>
                    <a:graphicData uri="http://schemas.openxmlformats.org/drawingml/2006/picture">
                      <pic:pic>
                        <pic:nvPicPr>
                          <pic:cNvPr id="6" name=""/>
                          <pic:cNvPicPr/>
                        </pic:nvPicPr>
                        <pic:blipFill>
                          <a:blip r:embed="rId40"/>
                          <a:stretch>
                            <a:fillRect/>
                          </a:stretch>
                        </pic:blipFill>
                        <pic:spPr>
                          <a:xfrm>
                            <a:off x="0" y="0"/>
                            <a:ext cx="2219325" cy="323850"/>
                          </a:xfrm>
                          <a:prstGeom prst="rect">
                            <a:avLst/>
                          </a:prstGeom>
                        </pic:spPr>
                      </pic:pic>
                    </a:graphicData>
                  </a:graphic>
                </wp:inline>
              </w:drawing>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Times New Roman" w:hAnsi="Times New Roman" w:eastAsia="Times New Roman"/>
                <w:color w:val="000000"/>
                <w:sz w:val="18"/>
                <w:szCs w:val="18"/>
              </w:rPr>
            </w:pPr>
            <w:r>
              <w:rPr>
                <w:rFonts w:ascii="宋体" w:hAnsi="宋体" w:eastAsia="宋体"/>
                <w:color w:val="000000"/>
                <w:sz w:val="18"/>
                <w:szCs w:val="18"/>
              </w:rPr>
              <w:t>从左到右依次为：</w:t>
            </w:r>
          </w:p>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）三相实时电压状态指示，</w:t>
            </w:r>
            <w:r>
              <w:rPr>
                <w:rFonts w:ascii="Times New Roman" w:hAnsi="Times New Roman" w:eastAsia="Times New Roman"/>
                <w:color w:val="000000"/>
                <w:sz w:val="18"/>
                <w:szCs w:val="18"/>
              </w:rPr>
              <w:t>Ua</w:t>
            </w:r>
            <w:r>
              <w:rPr>
                <w:rFonts w:ascii="宋体" w:hAnsi="宋体" w:eastAsia="宋体"/>
                <w:color w:val="000000"/>
                <w:sz w:val="18"/>
                <w:szCs w:val="18"/>
              </w:rPr>
              <w:t>、</w:t>
            </w:r>
            <w:r>
              <w:rPr>
                <w:rFonts w:ascii="Times New Roman" w:hAnsi="Times New Roman" w:eastAsia="Times New Roman"/>
                <w:color w:val="000000"/>
                <w:sz w:val="18"/>
                <w:szCs w:val="18"/>
              </w:rPr>
              <w:t>Ub</w:t>
            </w:r>
            <w:r>
              <w:rPr>
                <w:rFonts w:ascii="宋体" w:hAnsi="宋体" w:eastAsia="宋体"/>
                <w:color w:val="000000"/>
                <w:sz w:val="18"/>
                <w:szCs w:val="18"/>
              </w:rPr>
              <w:t>、</w:t>
            </w:r>
            <w:r>
              <w:rPr>
                <w:rFonts w:ascii="Times New Roman" w:hAnsi="Times New Roman" w:eastAsia="Times New Roman"/>
                <w:color w:val="000000"/>
                <w:sz w:val="18"/>
                <w:szCs w:val="18"/>
              </w:rPr>
              <w:t>Uc</w:t>
            </w:r>
            <w:r>
              <w:rPr>
                <w:rFonts w:ascii="宋体" w:hAnsi="宋体" w:eastAsia="宋体"/>
                <w:color w:val="000000"/>
                <w:sz w:val="18"/>
                <w:szCs w:val="18"/>
              </w:rPr>
              <w:t>分别对于</w:t>
            </w:r>
            <w:r>
              <w:rPr>
                <w:rFonts w:ascii="Times New Roman" w:hAnsi="Times New Roman" w:eastAsia="Times New Roman"/>
                <w:color w:val="000000"/>
                <w:sz w:val="18"/>
                <w:szCs w:val="18"/>
              </w:rPr>
              <w:t>A</w:t>
            </w:r>
            <w:r>
              <w:rPr>
                <w:rFonts w:ascii="宋体" w:hAnsi="宋体" w:eastAsia="宋体"/>
                <w:color w:val="000000"/>
                <w:sz w:val="18"/>
                <w:szCs w:val="18"/>
              </w:rPr>
              <w:t>、</w:t>
            </w:r>
            <w:r>
              <w:rPr>
                <w:rFonts w:ascii="Times New Roman" w:hAnsi="Times New Roman" w:eastAsia="Times New Roman"/>
                <w:color w:val="000000"/>
                <w:sz w:val="18"/>
                <w:szCs w:val="18"/>
              </w:rPr>
              <w:t>B</w:t>
            </w:r>
            <w:r>
              <w:rPr>
                <w:rFonts w:ascii="宋体" w:hAnsi="宋体" w:eastAsia="宋体"/>
                <w:color w:val="000000"/>
                <w:sz w:val="18"/>
                <w:szCs w:val="18"/>
              </w:rPr>
              <w:t>、</w:t>
            </w:r>
            <w:r>
              <w:rPr>
                <w:rFonts w:ascii="Times New Roman" w:hAnsi="Times New Roman" w:eastAsia="Times New Roman"/>
                <w:color w:val="000000"/>
                <w:sz w:val="18"/>
                <w:szCs w:val="18"/>
              </w:rPr>
              <w:t>C</w:t>
            </w:r>
            <w:r>
              <w:rPr>
                <w:rFonts w:ascii="宋体" w:hAnsi="宋体" w:eastAsia="宋体"/>
                <w:color w:val="000000"/>
                <w:sz w:val="18"/>
                <w:szCs w:val="18"/>
              </w:rPr>
              <w:t>相电压，某相失压时，该相对应的字符闪烁；某相断相时则不显示。三相三线表不显示</w:t>
            </w:r>
            <w:r>
              <w:rPr>
                <w:rFonts w:ascii="Times New Roman" w:hAnsi="Times New Roman" w:eastAsia="Times New Roman"/>
                <w:color w:val="000000"/>
                <w:sz w:val="18"/>
                <w:szCs w:val="18"/>
              </w:rPr>
              <w:t>Ub</w:t>
            </w:r>
            <w:r>
              <w:rPr>
                <w:rFonts w:ascii="宋体" w:hAnsi="宋体" w:eastAsia="宋体"/>
                <w:color w:val="000000"/>
                <w:sz w:val="18"/>
                <w:szCs w:val="18"/>
              </w:rPr>
              <w:t>。</w:t>
            </w:r>
          </w:p>
          <w:p>
            <w:pPr>
              <w:spacing/>
              <w:ind/>
              <w:jc w:val="left"/>
              <w:rPr>
                <w:rFonts w:ascii="微软雅黑" w:hAnsi="微软雅黑" w:eastAsia="微软雅黑"/>
                <w:sz w:val="24"/>
                <w:szCs w:val="24"/>
              </w:rPr>
            </w:pPr>
            <w:r>
              <w:rPr>
                <w:rFonts w:ascii="Times New Roman" w:hAnsi="Times New Roman" w:eastAsia="Times New Roman"/>
                <w:color w:val="000000"/>
                <w:sz w:val="18"/>
                <w:szCs w:val="18"/>
              </w:rPr>
              <w:t>2）电压电流逆相序指示。</w:t>
            </w:r>
          </w:p>
          <w:p>
            <w:pPr>
              <w:spacing w:before="60" w:after="60"/>
              <w:ind w:leftChars="100"/>
              <w:jc w:val="left"/>
              <w:rPr>
                <w:rFonts w:ascii="宋体" w:hAnsi="宋体" w:eastAsia="宋体"/>
                <w:sz w:val="18"/>
                <w:szCs w:val="18"/>
              </w:rPr>
            </w:pPr>
            <w:r>
              <w:rPr>
                <w:rFonts w:ascii="Times New Roman" w:hAnsi="Times New Roman" w:eastAsia="Times New Roman"/>
                <w:color w:val="000000"/>
                <w:sz w:val="18"/>
                <w:szCs w:val="18"/>
              </w:rPr>
              <w:t>3）三相实时电流状态指示，Ia</w:t>
            </w:r>
            <w:r>
              <w:rPr>
                <w:rFonts w:ascii="宋体" w:hAnsi="宋体" w:eastAsia="宋体"/>
                <w:color w:val="000000"/>
                <w:sz w:val="18"/>
                <w:szCs w:val="18"/>
              </w:rPr>
              <w:t>、</w:t>
            </w:r>
            <w:r>
              <w:rPr>
                <w:rFonts w:ascii="Times New Roman" w:hAnsi="Times New Roman" w:eastAsia="Times New Roman"/>
                <w:color w:val="000000"/>
                <w:sz w:val="18"/>
                <w:szCs w:val="18"/>
              </w:rPr>
              <w:t>Ib</w:t>
            </w:r>
            <w:r>
              <w:rPr>
                <w:rFonts w:ascii="宋体" w:hAnsi="宋体" w:eastAsia="宋体"/>
                <w:color w:val="000000"/>
                <w:sz w:val="18"/>
                <w:szCs w:val="18"/>
              </w:rPr>
              <w:t>、</w:t>
            </w:r>
            <w:r>
              <w:rPr>
                <w:rFonts w:ascii="Times New Roman" w:hAnsi="Times New Roman" w:eastAsia="Times New Roman"/>
                <w:color w:val="000000"/>
                <w:sz w:val="18"/>
                <w:szCs w:val="18"/>
              </w:rPr>
              <w:t xml:space="preserve">Ic </w:t>
            </w:r>
            <w:r>
              <w:rPr>
                <w:rFonts w:ascii="宋体" w:hAnsi="宋体" w:eastAsia="宋体"/>
                <w:color w:val="000000"/>
                <w:sz w:val="18"/>
                <w:szCs w:val="18"/>
              </w:rPr>
              <w:t>分别对于</w:t>
            </w:r>
            <w:r>
              <w:rPr>
                <w:rFonts w:ascii="Times New Roman" w:hAnsi="Times New Roman" w:eastAsia="Times New Roman"/>
                <w:color w:val="000000"/>
                <w:sz w:val="18"/>
                <w:szCs w:val="18"/>
              </w:rPr>
              <w:t>A</w:t>
            </w:r>
            <w:r>
              <w:rPr>
                <w:rFonts w:ascii="宋体" w:hAnsi="宋体" w:eastAsia="宋体"/>
                <w:color w:val="000000"/>
                <w:sz w:val="18"/>
                <w:szCs w:val="18"/>
              </w:rPr>
              <w:t>、</w:t>
            </w:r>
            <w:r>
              <w:rPr>
                <w:rFonts w:ascii="Times New Roman" w:hAnsi="Times New Roman" w:eastAsia="Times New Roman"/>
                <w:color w:val="000000"/>
                <w:sz w:val="18"/>
                <w:szCs w:val="18"/>
              </w:rPr>
              <w:t>B</w:t>
            </w:r>
            <w:r>
              <w:rPr>
                <w:rFonts w:ascii="宋体" w:hAnsi="宋体" w:eastAsia="宋体"/>
                <w:color w:val="000000"/>
                <w:sz w:val="18"/>
                <w:szCs w:val="18"/>
              </w:rPr>
              <w:t>、</w:t>
            </w:r>
            <w:r>
              <w:rPr>
                <w:rFonts w:ascii="Times New Roman" w:hAnsi="Times New Roman" w:eastAsia="Times New Roman"/>
                <w:color w:val="000000"/>
                <w:sz w:val="18"/>
                <w:szCs w:val="18"/>
              </w:rPr>
              <w:t>C</w:t>
            </w:r>
            <w:r>
              <w:rPr>
                <w:rFonts w:ascii="宋体" w:hAnsi="宋体" w:eastAsia="宋体"/>
                <w:color w:val="000000"/>
                <w:sz w:val="18"/>
                <w:szCs w:val="18"/>
              </w:rPr>
              <w:t>相电流。某相失流时，该相对应的字符闪烁；某相断流时测不显示，当失流和断流同时存在时，优先显示失流状态。某相功率反向时，显示该相对应符号前的“</w:t>
            </w:r>
            <w:r>
              <w:rPr>
                <w:rFonts w:ascii="Times New Roman" w:hAnsi="Times New Roman" w:eastAsia="Times New Roman"/>
                <w:color w:val="000000"/>
                <w:sz w:val="18"/>
                <w:szCs w:val="18"/>
              </w:rPr>
              <w:t>-</w:t>
            </w:r>
            <w:r>
              <w:rPr>
                <w:rFonts w:ascii="宋体" w:hAnsi="宋体" w:eastAsia="宋体"/>
                <w:color w:val="000000"/>
                <w:sz w:val="18"/>
                <w:szCs w:val="18"/>
              </w:rPr>
              <w:t>”</w:t>
            </w:r>
          </w:p>
        </w:tc>
      </w:tr>
      <w:tr>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微软雅黑" w:hAnsi="微软雅黑" w:eastAsia="微软雅黑"/>
                <w:sz w:val="21"/>
                <w:szCs w:val="21"/>
              </w:rPr>
              <w:drawing>
                <wp:inline distT="0" distB="0" distL="0" distR="0">
                  <wp:extent cx="1009650" cy="285750"/>
                  <wp:effectExtent l="0" t="0" r="0" b="0"/>
                  <wp:docPr id="7" name="" descr=""/>
                  <wp:cNvGraphicFramePr>
                    <a:graphicFrameLocks noChangeAspect="true"/>
                  </wp:cNvGraphicFramePr>
                  <a:graphic>
                    <a:graphicData uri="http://schemas.openxmlformats.org/drawingml/2006/picture">
                      <pic:pic>
                        <pic:nvPicPr>
                          <pic:cNvPr id="7" name=""/>
                          <pic:cNvPicPr/>
                        </pic:nvPicPr>
                        <pic:blipFill>
                          <a:blip r:embed="rId41"/>
                          <a:stretch>
                            <a:fillRect/>
                          </a:stretch>
                        </pic:blipFill>
                        <pic:spPr>
                          <a:xfrm>
                            <a:off x="0" y="0"/>
                            <a:ext cx="1009650" cy="285750"/>
                          </a:xfrm>
                          <a:prstGeom prst="rect">
                            <a:avLst/>
                          </a:prstGeom>
                        </pic:spPr>
                      </pic:pic>
                    </a:graphicData>
                  </a:graphic>
                </wp:inline>
              </w:drawing>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both"/>
              <w:rPr>
                <w:rFonts w:ascii="宋体" w:hAnsi="宋体" w:eastAsia="宋体"/>
                <w:sz w:val="18"/>
                <w:szCs w:val="18"/>
              </w:rPr>
            </w:pPr>
            <w:r>
              <w:rPr>
                <w:rFonts w:ascii="宋体" w:hAnsi="宋体" w:eastAsia="宋体"/>
                <w:color w:val="000000"/>
                <w:sz w:val="18"/>
                <w:szCs w:val="18"/>
              </w:rPr>
              <w:t>指示当前运行第“</w:t>
            </w: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2</w:t>
            </w:r>
            <w:r>
              <w:rPr>
                <w:rFonts w:ascii="宋体" w:hAnsi="宋体" w:eastAsia="宋体"/>
                <w:color w:val="000000"/>
                <w:sz w:val="18"/>
                <w:szCs w:val="18"/>
              </w:rPr>
              <w:t>、</w:t>
            </w:r>
            <w:r>
              <w:rPr>
                <w:rFonts w:ascii="Times New Roman" w:hAnsi="Times New Roman" w:eastAsia="Times New Roman"/>
                <w:color w:val="000000"/>
                <w:sz w:val="18"/>
                <w:szCs w:val="18"/>
              </w:rPr>
              <w:t>3</w:t>
            </w:r>
            <w:r>
              <w:rPr>
                <w:rFonts w:ascii="宋体" w:hAnsi="宋体" w:eastAsia="宋体"/>
                <w:color w:val="000000"/>
                <w:sz w:val="18"/>
                <w:szCs w:val="18"/>
              </w:rPr>
              <w:t>、</w:t>
            </w:r>
            <w:r>
              <w:rPr>
                <w:rFonts w:ascii="Times New Roman" w:hAnsi="Times New Roman" w:eastAsia="Times New Roman"/>
                <w:color w:val="000000"/>
                <w:sz w:val="18"/>
                <w:szCs w:val="18"/>
              </w:rPr>
              <w:t>4</w:t>
            </w:r>
            <w:r>
              <w:rPr>
                <w:rFonts w:ascii="宋体" w:hAnsi="宋体" w:eastAsia="宋体"/>
                <w:color w:val="000000"/>
                <w:sz w:val="18"/>
                <w:szCs w:val="18"/>
              </w:rPr>
              <w:t>”阶梯电价</w:t>
            </w:r>
          </w:p>
        </w:tc>
      </w:tr>
      <w:tr>
        <w:trPr>
          <w:trHeight w:val="1215" w:hRule="atLeast"/>
        </w:trPr>
        <w:tc>
          <w:tcPr>
            <w:tcW w:w="6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Times New Roman" w:hAnsi="Times New Roman" w:eastAsia="Times New Roman"/>
                <w:color w:val="000000"/>
                <w:sz w:val="18"/>
                <w:szCs w:val="18"/>
              </w:rPr>
              <w:t>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before="60" w:after="60"/>
              <w:ind/>
              <w:jc w:val="center"/>
              <w:rPr>
                <w:rFonts w:ascii="宋体" w:hAnsi="宋体" w:eastAsia="宋体"/>
                <w:sz w:val="18"/>
                <w:szCs w:val="18"/>
              </w:rPr>
            </w:pPr>
            <w:r>
              <w:rPr>
                <w:rFonts w:ascii="微软雅黑" w:hAnsi="微软雅黑" w:eastAsia="微软雅黑"/>
                <w:sz w:val="21"/>
                <w:szCs w:val="21"/>
              </w:rPr>
              <w:drawing>
                <wp:inline distT="0" distB="0" distL="0" distR="0">
                  <wp:extent cx="438150" cy="771525"/>
                  <wp:effectExtent l="0" t="0" r="0" b="0"/>
                  <wp:docPr id="8" name="" descr=""/>
                  <wp:cNvGraphicFramePr>
                    <a:graphicFrameLocks noChangeAspect="true"/>
                  </wp:cNvGraphicFramePr>
                  <a:graphic>
                    <a:graphicData uri="http://schemas.openxmlformats.org/drawingml/2006/picture">
                      <pic:pic>
                        <pic:nvPicPr>
                          <pic:cNvPr id="8" name=""/>
                          <pic:cNvPicPr/>
                        </pic:nvPicPr>
                        <pic:blipFill>
                          <a:blip r:embed="rId42"/>
                          <a:stretch>
                            <a:fillRect/>
                          </a:stretch>
                        </pic:blipFill>
                        <pic:spPr>
                          <a:xfrm>
                            <a:off x="0" y="0"/>
                            <a:ext cx="438150" cy="771525"/>
                          </a:xfrm>
                          <a:prstGeom prst="rect">
                            <a:avLst/>
                          </a:prstGeom>
                        </pic:spPr>
                      </pic:pic>
                    </a:graphicData>
                  </a:graphic>
                </wp:inline>
              </w:drawing>
            </w:r>
          </w:p>
        </w:tc>
        <w:tc>
          <w:tcPr>
            <w:tcW w:w="300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Times New Roman" w:hAnsi="Times New Roman" w:eastAsia="Times New Roman"/>
                <w:color w:val="000000"/>
                <w:sz w:val="18"/>
                <w:szCs w:val="18"/>
              </w:rPr>
            </w:pPr>
            <w:r>
              <w:rPr>
                <w:rFonts w:ascii="Times New Roman" w:hAnsi="Times New Roman" w:eastAsia="Times New Roman"/>
                <w:color w:val="000000"/>
                <w:sz w:val="18"/>
                <w:szCs w:val="18"/>
              </w:rPr>
              <w:t>1</w:t>
            </w:r>
            <w:r>
              <w:rPr>
                <w:rFonts w:ascii="宋体" w:hAnsi="宋体" w:eastAsia="宋体"/>
                <w:color w:val="000000"/>
                <w:sz w:val="18"/>
                <w:szCs w:val="18"/>
              </w:rPr>
              <w:t>）指示当前费率状态（尖峰平谷）</w:t>
            </w:r>
          </w:p>
          <w:p>
            <w:pPr>
              <w:spacing w:before="60" w:after="60"/>
              <w:ind w:leftChars="100"/>
              <w:jc w:val="both"/>
              <w:rPr>
                <w:rFonts w:ascii="宋体" w:hAnsi="宋体" w:eastAsia="宋体"/>
                <w:sz w:val="18"/>
                <w:szCs w:val="18"/>
              </w:rPr>
            </w:pPr>
            <w:r>
              <w:rPr>
                <w:rFonts w:ascii="Times New Roman" w:hAnsi="Times New Roman" w:eastAsia="Times New Roman"/>
                <w:color w:val="000000"/>
                <w:sz w:val="18"/>
                <w:szCs w:val="18"/>
              </w:rPr>
              <w:t>2</w:t>
            </w:r>
            <w:r>
              <w:rPr>
                <w:rFonts w:ascii="宋体" w:hAnsi="宋体" w:eastAsia="宋体"/>
                <w:color w:val="000000"/>
                <w:sz w:val="18"/>
                <w:szCs w:val="18"/>
              </w:rPr>
              <w:t>）“</w:t>
            </w:r>
            <w:r>
              <w:rPr>
                <w:rFonts w:ascii="微软雅黑" w:hAnsi="微软雅黑" w:eastAsia="微软雅黑"/>
                <w:sz w:val="21"/>
                <w:szCs w:val="21"/>
              </w:rPr>
              <w:drawing>
                <wp:inline distT="0" distB="0" distL="0" distR="0">
                  <wp:extent cx="257175" cy="247650"/>
                  <wp:effectExtent l="0" t="0" r="0" b="0"/>
                  <wp:docPr id="9" name="" descr=""/>
                  <wp:cNvGraphicFramePr>
                    <a:graphicFrameLocks noChangeAspect="true"/>
                  </wp:cNvGraphicFramePr>
                  <a:graphic>
                    <a:graphicData uri="http://schemas.openxmlformats.org/drawingml/2006/picture">
                      <pic:pic>
                        <pic:nvPicPr>
                          <pic:cNvPr id="9" name=""/>
                          <pic:cNvPicPr/>
                        </pic:nvPicPr>
                        <pic:blipFill>
                          <a:blip r:embed="rId43"/>
                          <a:stretch>
                            <a:fillRect/>
                          </a:stretch>
                        </pic:blipFill>
                        <pic:spPr>
                          <a:xfrm>
                            <a:off x="0" y="0"/>
                            <a:ext cx="257175" cy="247650"/>
                          </a:xfrm>
                          <a:prstGeom prst="rect">
                            <a:avLst/>
                          </a:prstGeom>
                        </pic:spPr>
                      </pic:pic>
                    </a:graphicData>
                  </a:graphic>
                </wp:inline>
              </w:drawing>
            </w:r>
            <w:r>
              <w:rPr>
                <w:rFonts w:ascii="Times New Roman" w:hAnsi="Times New Roman" w:eastAsia="Times New Roman"/>
                <w:color w:val="000000"/>
                <w:sz w:val="18"/>
                <w:szCs w:val="18"/>
              </w:rPr>
              <w:t xml:space="preserve"> </w:t>
            </w:r>
            <w:r>
              <w:rPr>
                <w:rFonts w:ascii="微软雅黑" w:hAnsi="微软雅黑" w:eastAsia="微软雅黑"/>
                <w:sz w:val="21"/>
                <w:szCs w:val="21"/>
              </w:rPr>
              <w:drawing>
                <wp:inline distT="0" distB="0" distL="0" distR="0">
                  <wp:extent cx="247650" cy="247650"/>
                  <wp:effectExtent l="0" t="0" r="0" b="0"/>
                  <wp:docPr id="10" name="" descr=""/>
                  <wp:cNvGraphicFramePr>
                    <a:graphicFrameLocks noChangeAspect="true"/>
                  </wp:cNvGraphicFramePr>
                  <a:graphic>
                    <a:graphicData uri="http://schemas.openxmlformats.org/drawingml/2006/picture">
                      <pic:pic>
                        <pic:nvPicPr>
                          <pic:cNvPr id="10" name=""/>
                          <pic:cNvPicPr/>
                        </pic:nvPicPr>
                        <pic:blipFill>
                          <a:blip r:embed="rId44"/>
                          <a:stretch>
                            <a:fillRect/>
                          </a:stretch>
                        </pic:blipFill>
                        <pic:spPr>
                          <a:xfrm>
                            <a:off x="0" y="0"/>
                            <a:ext cx="247650" cy="247650"/>
                          </a:xfrm>
                          <a:prstGeom prst="rect">
                            <a:avLst/>
                          </a:prstGeom>
                        </pic:spPr>
                      </pic:pic>
                    </a:graphicData>
                  </a:graphic>
                </wp:inline>
              </w:drawing>
            </w:r>
            <w:r>
              <w:rPr>
                <w:rFonts w:ascii="宋体" w:hAnsi="宋体" w:eastAsia="宋体"/>
                <w:color w:val="000000"/>
                <w:sz w:val="18"/>
                <w:szCs w:val="18"/>
              </w:rPr>
              <w:t>”指示当前使用第</w:t>
            </w:r>
            <w:r>
              <w:rPr>
                <w:rFonts w:ascii="Times New Roman" w:hAnsi="Times New Roman" w:eastAsia="Times New Roman"/>
                <w:color w:val="000000"/>
                <w:sz w:val="18"/>
                <w:szCs w:val="18"/>
              </w:rPr>
              <w:t>1</w:t>
            </w:r>
            <w:r>
              <w:rPr>
                <w:rFonts w:ascii="宋体" w:hAnsi="宋体" w:eastAsia="宋体"/>
                <w:color w:val="000000"/>
                <w:sz w:val="18"/>
                <w:szCs w:val="18"/>
              </w:rPr>
              <w:t>、</w:t>
            </w:r>
            <w:r>
              <w:rPr>
                <w:rFonts w:ascii="Times New Roman" w:hAnsi="Times New Roman" w:eastAsia="Times New Roman"/>
                <w:color w:val="000000"/>
                <w:sz w:val="18"/>
                <w:szCs w:val="18"/>
              </w:rPr>
              <w:t>2</w:t>
            </w:r>
            <w:r>
              <w:rPr>
                <w:rFonts w:ascii="宋体" w:hAnsi="宋体" w:eastAsia="宋体"/>
                <w:color w:val="000000"/>
                <w:sz w:val="18"/>
                <w:szCs w:val="18"/>
              </w:rPr>
              <w:t>套阶梯电价</w:t>
            </w:r>
          </w:p>
        </w:tc>
      </w:tr>
    </w:tbl>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操作按键</w:t>
      </w:r>
    </w:p>
    <w:p>
      <w:pPr>
        <w:spacing w:before="24"/>
        <w:ind w:firstLine="435"/>
        <w:jc w:val="both"/>
        <w:rPr>
          <w:rFonts w:ascii="宋体" w:hAnsi="宋体" w:eastAsia="宋体"/>
          <w:sz w:val="21"/>
          <w:szCs w:val="21"/>
        </w:rPr>
      </w:pPr>
      <w:r>
        <w:rPr>
          <w:rFonts w:ascii="宋体" w:hAnsi="宋体" w:eastAsia="宋体"/>
          <w:color w:val="000000"/>
          <w:sz w:val="21"/>
          <w:szCs w:val="21"/>
        </w:rPr>
        <w:t>电表具备2个显示按键，上翻按键和下翻按键，运行中具有2种显示状态：自动循显状态、按键显示状态。</w:t>
      </w:r>
    </w:p>
    <w:p>
      <w:pPr>
        <w:spacing w:before="24"/>
        <w:ind w:firstLine="435"/>
        <w:jc w:val="both"/>
        <w:rPr>
          <w:rFonts w:ascii="宋体" w:hAnsi="宋体" w:eastAsia="宋体"/>
          <w:sz w:val="21"/>
          <w:szCs w:val="21"/>
        </w:rPr>
      </w:pPr>
      <w:r>
        <w:rPr>
          <w:rFonts w:ascii="宋体" w:hAnsi="宋体" w:eastAsia="宋体"/>
          <w:color w:val="000000"/>
          <w:sz w:val="21"/>
          <w:szCs w:val="21"/>
        </w:rPr>
        <w:t>自动循显状态：电能表在正常运行情况下处于自动循显状态，根据设定的时间滚动显示。自动循显项目、循显时间可由用户自行设定。最大可选显示项目</w:t>
      </w:r>
      <w:r>
        <w:rPr>
          <w:rFonts w:ascii="Times New Roman" w:hAnsi="Times New Roman" w:eastAsia="Times New Roman"/>
          <w:color w:val="000000"/>
          <w:sz w:val="21"/>
          <w:szCs w:val="21"/>
        </w:rPr>
        <w:t>99</w:t>
      </w:r>
      <w:r>
        <w:rPr>
          <w:rFonts w:ascii="宋体" w:hAnsi="宋体" w:eastAsia="宋体"/>
          <w:color w:val="000000"/>
          <w:sz w:val="21"/>
          <w:szCs w:val="21"/>
        </w:rPr>
        <w:t>项，循显时间可设置成</w:t>
      </w:r>
      <w:r>
        <w:rPr>
          <w:rFonts w:ascii="Times New Roman" w:hAnsi="Times New Roman" w:eastAsia="Times New Roman"/>
          <w:color w:val="000000"/>
          <w:sz w:val="21"/>
          <w:szCs w:val="21"/>
        </w:rPr>
        <w:t>1</w:t>
      </w:r>
      <w:r>
        <w:rPr>
          <w:rFonts w:ascii="宋体" w:hAnsi="宋体" w:eastAsia="宋体"/>
          <w:color w:val="000000"/>
          <w:sz w:val="21"/>
          <w:szCs w:val="21"/>
        </w:rPr>
        <w:t>～</w:t>
      </w:r>
      <w:r>
        <w:rPr>
          <w:rFonts w:ascii="Times New Roman" w:hAnsi="Times New Roman" w:eastAsia="Times New Roman"/>
          <w:color w:val="000000"/>
          <w:sz w:val="21"/>
          <w:szCs w:val="21"/>
        </w:rPr>
        <w:t>99</w:t>
      </w:r>
      <w:r>
        <w:rPr>
          <w:rFonts w:ascii="宋体" w:hAnsi="宋体" w:eastAsia="宋体"/>
          <w:color w:val="000000"/>
          <w:sz w:val="21"/>
          <w:szCs w:val="21"/>
        </w:rPr>
        <w:t>秒。</w:t>
      </w:r>
    </w:p>
    <w:p>
      <w:pPr>
        <w:spacing w:before="24"/>
        <w:ind w:firstLine="435"/>
        <w:jc w:val="both"/>
        <w:rPr>
          <w:rFonts w:ascii="宋体" w:hAnsi="宋体" w:eastAsia="宋体"/>
          <w:sz w:val="21"/>
          <w:szCs w:val="21"/>
        </w:rPr>
      </w:pPr>
      <w:r>
        <w:rPr>
          <w:rFonts w:ascii="宋体" w:hAnsi="宋体" w:eastAsia="宋体"/>
          <w:color w:val="000000"/>
          <w:sz w:val="21"/>
          <w:szCs w:val="21"/>
        </w:rPr>
        <w:t>按键显示状态：显示项目可配置，最多可配置</w:t>
      </w:r>
      <w:r>
        <w:rPr>
          <w:rFonts w:ascii="Times New Roman" w:hAnsi="Times New Roman" w:eastAsia="Times New Roman"/>
          <w:color w:val="000000"/>
          <w:sz w:val="21"/>
          <w:szCs w:val="21"/>
        </w:rPr>
        <w:t>99</w:t>
      </w:r>
      <w:r>
        <w:rPr>
          <w:rFonts w:ascii="宋体" w:hAnsi="宋体" w:eastAsia="宋体"/>
          <w:color w:val="000000"/>
          <w:sz w:val="21"/>
          <w:szCs w:val="21"/>
        </w:rPr>
        <w:t>项。当电表处于运行状态的自动循环显示方式时，一旦有显示按键触发，电表切换到按键显示状态，并启动液晶背光。在按键动作消失60秒后自动关闭背光，并自动切换回自动循环显示状态。</w:t>
      </w:r>
    </w:p>
    <w:p>
      <w:pPr>
        <w:spacing w:before="24"/>
        <w:ind w:firstLineChars="200"/>
        <w:jc w:val="both"/>
        <w:rPr>
          <w:rFonts w:ascii="宋体" w:hAnsi="宋体" w:eastAsia="宋体"/>
          <w:sz w:val="21"/>
          <w:szCs w:val="21"/>
        </w:rPr>
      </w:pPr>
      <w:r>
        <w:rPr>
          <w:rFonts w:ascii="宋体" w:hAnsi="宋体" w:eastAsia="宋体"/>
          <w:color w:val="000000"/>
          <w:sz w:val="21"/>
          <w:szCs w:val="21"/>
        </w:rPr>
        <w:t>电表故障类异常提示：此类异常一旦发生需要将循环显示功能暂停，液晶屏固定显示该异常代码，当故障类异常只有一个时，液晶屏固定显示该故障类异常代码。当故障类异常代码有几个同时发生时，按照故障类异常代码递增顺序循环显示，显示间隔为循显时间，可以按显示键跳出故障异常代码显示。按键循环显示情况下无按键操作</w:t>
      </w:r>
      <w:r>
        <w:rPr>
          <w:rFonts w:ascii="Times New Roman" w:hAnsi="Times New Roman" w:eastAsia="Times New Roman"/>
          <w:color w:val="000000"/>
          <w:sz w:val="21"/>
          <w:szCs w:val="21"/>
        </w:rPr>
        <w:t>60</w:t>
      </w:r>
      <w:r>
        <w:rPr>
          <w:rFonts w:ascii="宋体" w:hAnsi="宋体" w:eastAsia="宋体"/>
          <w:color w:val="000000"/>
          <w:sz w:val="21"/>
          <w:szCs w:val="21"/>
        </w:rPr>
        <w:t>秒后，返回故障类异常代码自动循环显示。</w:t>
      </w:r>
    </w:p>
    <w:p>
      <w:pPr>
        <w:numPr>
          <w:ilvl w:val="1"/>
          <w:numId w:val="37"/>
        </w:numPr>
        <w:spacing w:before="156" w:after="156"/>
        <w:ind w:firstLine="0"/>
        <w:jc w:val="both"/>
        <w:rPr>
          <w:rFonts w:ascii="宋体" w:hAnsi="宋体" w:eastAsia="宋体"/>
          <w:sz w:val="21"/>
          <w:szCs w:val="21"/>
        </w:rPr>
      </w:pPr>
      <w:r>
        <w:rPr>
          <w:rFonts w:hint="eastAsia"/>
        </w:rPr>
      </w:r>
      <w:r>
        <w:rPr>
          <w:rFonts w:ascii="宋体" w:hAnsi="宋体" w:eastAsia="宋体"/>
          <w:color w:val="000000"/>
          <w:sz w:val="21"/>
          <w:szCs w:val="21"/>
        </w:rPr>
        <w:t>背光点亮</w:t>
      </w:r>
    </w:p>
    <w:p>
      <w:pPr>
        <w:spacing w:before="24"/>
        <w:ind w:firstLineChars="200"/>
        <w:jc w:val="both"/>
        <w:rPr>
          <w:rFonts w:ascii="宋体" w:hAnsi="宋体" w:eastAsia="宋体"/>
          <w:sz w:val="21"/>
          <w:szCs w:val="21"/>
        </w:rPr>
      </w:pPr>
      <w:r>
        <w:rPr>
          <w:rFonts w:ascii="宋体" w:hAnsi="宋体" w:eastAsia="宋体"/>
          <w:color w:val="000000"/>
          <w:sz w:val="21"/>
          <w:szCs w:val="21"/>
        </w:rPr>
        <w:t>电表正常运行时可点亮背光，停电或停电唤醒后不点亮背光。按键显示状态下一直点亮背光，直至返回到自动循环显示状态下关闭背光。</w:t>
      </w:r>
    </w:p>
    <w:p>
      <w:pPr>
        <w:pStyle w:val="heading1"/>
        <w:numPr>
          <w:ilvl w:val="0"/>
          <w:numId w:val="37"/>
        </w:numPr>
        <w:snapToGrid w:val="true"/>
        <w:spacing w:before="312" w:after="312"/>
        <w:ind w:firstLine="0"/>
        <w:jc w:val="both"/>
        <w:rPr>
          <w:rFonts w:ascii="宋体" w:hAnsi="宋体" w:eastAsia="宋体"/>
        </w:rPr>
      </w:pPr>
      <w:r>
        <w:rPr>
          <w:rFonts w:hint="eastAsia"/>
        </w:rPr>
      </w:r>
      <w:r>
        <w:rPr>
          <w:rFonts w:ascii="黑体" w:hAnsi="黑体" w:eastAsia="黑体"/>
          <w:color w:val="000000"/>
        </w:rPr>
        <w:t>关键元器件清单</w:t>
      </w:r>
    </w:p>
    <w:p>
      <w:pPr>
        <w:spacing w:before="156" w:after="156"/>
        <w:ind/>
        <w:jc w:val="center"/>
        <w:rPr>
          <w:rFonts w:ascii="宋体" w:hAnsi="宋体" w:eastAsia="宋体"/>
          <w:sz w:val="21"/>
          <w:szCs w:val="21"/>
        </w:rPr>
      </w:pPr>
      <w:r>
        <w:rPr>
          <w:rFonts w:ascii="黑体" w:hAnsi="黑体" w:eastAsia="黑体"/>
          <w:sz w:val="21"/>
          <w:szCs w:val="21"/>
        </w:rPr>
        <w:t xml:space="preserve">表 </w:t>
      </w:r>
      <w:r>
        <w:rPr>
          <w:rFonts w:ascii="黑体" w:hAnsi="黑体" w:eastAsia="黑体"/>
          <w:sz w:val="21"/>
          <w:szCs w:val="21"/>
        </w:rPr>
      </w:r>
      <w:r>
        <w:rPr>
          <w:rFonts w:ascii="黑体" w:hAnsi="黑体" w:eastAsia="黑体"/>
          <w:sz w:val="21"/>
          <w:szCs w:val="21"/>
        </w:rPr>
      </w:r>
      <w:r>
        <w:rPr>
          <w:rFonts w:ascii="黑体" w:hAnsi="黑体" w:eastAsia="黑体"/>
          <w:sz w:val="21"/>
          <w:szCs w:val="21"/>
        </w:rPr>
        <w:t>6</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1</w:t>
      </w:r>
      <w:r>
        <w:rPr>
          <w:rFonts w:ascii="黑体" w:hAnsi="黑体" w:eastAsia="黑体"/>
          <w:sz w:val="21"/>
          <w:szCs w:val="21"/>
        </w:rPr>
      </w:r>
      <w:r>
        <w:rPr>
          <w:rFonts w:ascii="黑体" w:hAnsi="黑体" w:eastAsia="黑体"/>
          <w:sz w:val="21"/>
          <w:szCs w:val="21"/>
        </w:rPr>
        <w:t xml:space="preserve"> 关键元器件清单</w:t>
      </w:r>
    </w:p>
    <w:tbl>
      <w:tblPr>
        <w:tblStyle w:val="a7"/>
        <w:tblW w:w="0" w:type="auto"/>
        <w:tblInd w:w="690"/>
        <w:tblLook w:firstRow="1" w:lastRow="0" w:firstColumn="1" w:lastColumn="0" w:noHBand="0" w:noVBand="1" w:val="04A0"/>
      </w:tblPr>
      <w:tblGrid>
        <w:gridCol w:w="705"/>
        <w:gridCol w:w="1320"/>
        <w:gridCol w:w="2325"/>
        <w:gridCol w:w="1665"/>
        <w:gridCol w:w="2580"/>
        <w:gridCol w:w="1125"/>
      </w:tblGrid>
      <w:tr>
        <w:trPr>
          <w:trHeight w:val="27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序号</w:t>
            </w:r>
          </w:p>
        </w:tc>
        <w:tc>
          <w:tcPr>
            <w:tcW w:w="132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零部件名称</w:t>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型号</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生产厂家</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主要性能指标</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备注</w:t>
            </w:r>
          </w:p>
        </w:tc>
      </w:tr>
      <w:tr>
        <w:trPr>
          <w:trHeight w:val="153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1</w:t>
            </w:r>
          </w:p>
        </w:tc>
        <w:tc>
          <w:tcPr>
            <w:tcW w:w="132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主控MCU</w:t>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R5F521A6BDFP</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日本瑞萨电子株式会社</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供电电压:1.8V～3.6V</w:t>
            </w:r>
          </w:p>
          <w:p>
            <w:pPr>
              <w:spacing w:line="192" w:lineRule="auto"/>
              <w:ind/>
              <w:jc w:val="left"/>
              <w:rPr>
                <w:rFonts w:ascii="宋体" w:hAnsi="宋体" w:eastAsia="宋体"/>
                <w:sz w:val="18"/>
                <w:szCs w:val="18"/>
              </w:rPr>
            </w:pPr>
            <w:r>
              <w:rPr>
                <w:rFonts w:ascii="宋体" w:hAnsi="宋体" w:eastAsia="宋体"/>
                <w:sz w:val="18"/>
                <w:szCs w:val="18"/>
              </w:rPr>
              <w:t>最大工作频率：50MHz</w:t>
            </w:r>
          </w:p>
          <w:p>
            <w:pPr>
              <w:spacing w:line="192" w:lineRule="auto"/>
              <w:ind/>
              <w:jc w:val="left"/>
              <w:rPr>
                <w:rFonts w:ascii="宋体" w:hAnsi="宋体" w:eastAsia="宋体"/>
                <w:sz w:val="18"/>
                <w:szCs w:val="18"/>
              </w:rPr>
            </w:pPr>
            <w:r>
              <w:rPr>
                <w:rFonts w:ascii="宋体" w:hAnsi="宋体" w:eastAsia="宋体"/>
                <w:sz w:val="18"/>
                <w:szCs w:val="18"/>
              </w:rPr>
              <w:t>256K ROM，32K RAM，8K E2</w:t>
            </w:r>
          </w:p>
          <w:p>
            <w:pPr>
              <w:spacing w:line="192" w:lineRule="auto"/>
              <w:ind/>
              <w:jc w:val="left"/>
              <w:rPr>
                <w:rFonts w:ascii="宋体" w:hAnsi="宋体" w:eastAsia="宋体"/>
                <w:sz w:val="18"/>
                <w:szCs w:val="18"/>
              </w:rPr>
            </w:pPr>
            <w:r>
              <w:rPr>
                <w:rFonts w:ascii="宋体" w:hAnsi="宋体" w:eastAsia="宋体"/>
                <w:sz w:val="18"/>
                <w:szCs w:val="18"/>
              </w:rPr>
              <w:t>7通道24位Sigma-Delta ADCs采样转换器</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102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2</w:t>
            </w:r>
          </w:p>
        </w:tc>
        <w:tc>
          <w:tcPr>
            <w:tcW w:w="132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晶振</w:t>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M49/S-SMD</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烟台大明电子科技有限公司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标称频率：10MHz</w:t>
            </w:r>
          </w:p>
          <w:p>
            <w:pPr>
              <w:spacing w:line="192" w:lineRule="auto"/>
              <w:ind/>
              <w:jc w:val="left"/>
              <w:rPr>
                <w:rFonts w:ascii="宋体" w:hAnsi="宋体" w:eastAsia="宋体"/>
                <w:sz w:val="18"/>
                <w:szCs w:val="18"/>
              </w:rPr>
            </w:pPr>
            <w:r>
              <w:rPr>
                <w:rFonts w:ascii="宋体" w:hAnsi="宋体" w:eastAsia="宋体"/>
                <w:sz w:val="18"/>
                <w:szCs w:val="18"/>
              </w:rPr>
              <w:t>调整频差(+25℃基准)：±20ppm</w:t>
            </w:r>
          </w:p>
          <w:p>
            <w:pPr>
              <w:spacing w:line="192" w:lineRule="auto"/>
              <w:ind/>
              <w:jc w:val="left"/>
              <w:rPr>
                <w:rFonts w:ascii="宋体" w:hAnsi="宋体" w:eastAsia="宋体"/>
                <w:sz w:val="18"/>
                <w:szCs w:val="18"/>
              </w:rPr>
            </w:pPr>
            <w:r>
              <w:rPr>
                <w:rFonts w:ascii="宋体" w:hAnsi="宋体" w:eastAsia="宋体"/>
                <w:sz w:val="18"/>
                <w:szCs w:val="18"/>
              </w:rPr>
              <w:t>工作温度：-40～+85℃；</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765"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3</w:t>
            </w:r>
          </w:p>
        </w:tc>
        <w:tc>
          <w:tcPr>
            <w:tcW w:w="132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电阻分压器</w:t>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RT1206</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台湾国巨股份有限公司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100KΩ：</w:t>
            </w:r>
            <w:r>
              <w:rPr>
                <w:rFonts w:ascii="Times New Roman" w:hAnsi="Times New Roman" w:eastAsia="Times New Roman"/>
                <w:sz w:val="18"/>
                <w:szCs w:val="18"/>
              </w:rPr>
              <w:t>0.5%</w:t>
            </w:r>
            <w:r>
              <w:rPr>
                <w:rFonts w:ascii="宋体" w:hAnsi="宋体" w:eastAsia="宋体"/>
                <w:sz w:val="18"/>
                <w:szCs w:val="18"/>
              </w:rPr>
              <w:t>精度，</w:t>
            </w:r>
            <w:r>
              <w:rPr>
                <w:rFonts w:ascii="Times New Roman" w:hAnsi="Times New Roman" w:eastAsia="Times New Roman"/>
                <w:sz w:val="18"/>
                <w:szCs w:val="18"/>
              </w:rPr>
              <w:t>25ppm/</w:t>
            </w:r>
            <w:r>
              <w:rPr>
                <w:rFonts w:ascii="宋体" w:hAnsi="宋体" w:eastAsia="宋体"/>
                <w:sz w:val="18"/>
                <w:szCs w:val="18"/>
              </w:rPr>
              <w:t>℃</w:t>
            </w:r>
          </w:p>
          <w:p>
            <w:pPr>
              <w:spacing w:line="192" w:lineRule="auto"/>
              <w:ind/>
              <w:jc w:val="left"/>
              <w:rPr>
                <w:rFonts w:ascii="宋体" w:hAnsi="宋体" w:eastAsia="宋体"/>
                <w:sz w:val="18"/>
                <w:szCs w:val="18"/>
              </w:rPr>
            </w:pPr>
            <w:r>
              <w:rPr>
                <w:rFonts w:ascii="宋体" w:hAnsi="宋体" w:eastAsia="宋体"/>
                <w:sz w:val="18"/>
                <w:szCs w:val="18"/>
              </w:rPr>
              <w:t>1kΩ：</w:t>
            </w:r>
            <w:r>
              <w:rPr>
                <w:rFonts w:ascii="Times New Roman" w:hAnsi="Times New Roman" w:eastAsia="Times New Roman"/>
                <w:sz w:val="18"/>
                <w:szCs w:val="18"/>
              </w:rPr>
              <w:t>0.1%</w:t>
            </w:r>
            <w:r>
              <w:rPr>
                <w:rFonts w:ascii="宋体" w:hAnsi="宋体" w:eastAsia="宋体"/>
                <w:sz w:val="18"/>
                <w:szCs w:val="18"/>
              </w:rPr>
              <w:t>精度，</w:t>
            </w:r>
            <w:r>
              <w:rPr>
                <w:rFonts w:ascii="Times New Roman" w:hAnsi="Times New Roman" w:eastAsia="Times New Roman"/>
                <w:sz w:val="18"/>
                <w:szCs w:val="18"/>
              </w:rPr>
              <w:t>25ppm/</w:t>
            </w:r>
            <w:r>
              <w:rPr>
                <w:rFonts w:ascii="宋体" w:hAnsi="宋体" w:eastAsia="宋体"/>
                <w:sz w:val="18"/>
                <w:szCs w:val="18"/>
              </w:rPr>
              <w:t>℃</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765" w:hRule="atLeast"/>
        </w:trPr>
        <w:tc>
          <w:tcPr>
            <w:tcW w:w="705" w:type="dxa"/>
            <w:vMerge w:val="restart"/>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4</w:t>
            </w:r>
          </w:p>
        </w:tc>
        <w:tc>
          <w:tcPr>
            <w:tcW w:w="1320" w:type="dxa"/>
            <w:vMerge w:val="restart"/>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电流互感器</w:t>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HLX3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河北申科电子股份有限公司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变比：</w:t>
            </w:r>
            <w:r>
              <w:rPr>
                <w:rFonts w:ascii="Times New Roman" w:hAnsi="Times New Roman" w:eastAsia="Times New Roman"/>
                <w:sz w:val="18"/>
                <w:szCs w:val="18"/>
              </w:rPr>
              <w:t>0.3(1.2)A/2.5mA</w:t>
            </w:r>
          </w:p>
          <w:p>
            <w:pPr>
              <w:spacing w:line="192" w:lineRule="auto"/>
              <w:ind/>
              <w:jc w:val="left"/>
              <w:rPr>
                <w:rFonts w:ascii="宋体" w:hAnsi="宋体" w:eastAsia="宋体"/>
                <w:sz w:val="18"/>
                <w:szCs w:val="18"/>
              </w:rPr>
            </w:pPr>
            <w:r>
              <w:rPr>
                <w:rFonts w:ascii="宋体" w:hAnsi="宋体" w:eastAsia="宋体"/>
                <w:sz w:val="18"/>
                <w:szCs w:val="18"/>
              </w:rPr>
              <w:t>精度等级：</w:t>
            </w:r>
            <w:r>
              <w:rPr>
                <w:rFonts w:ascii="Times New Roman" w:hAnsi="Times New Roman" w:eastAsia="Times New Roman"/>
                <w:sz w:val="18"/>
                <w:szCs w:val="18"/>
              </w:rPr>
              <w:t>0.02</w:t>
            </w:r>
            <w:r>
              <w:rPr>
                <w:rFonts w:ascii="宋体" w:hAnsi="宋体" w:eastAsia="宋体"/>
                <w:sz w:val="18"/>
                <w:szCs w:val="18"/>
              </w:rPr>
              <w:t>级</w:t>
            </w:r>
          </w:p>
          <w:p>
            <w:pPr>
              <w:spacing w:line="192" w:lineRule="auto"/>
              <w:ind/>
              <w:jc w:val="left"/>
              <w:rPr>
                <w:rFonts w:ascii="宋体" w:hAnsi="宋体" w:eastAsia="宋体"/>
                <w:sz w:val="18"/>
                <w:szCs w:val="18"/>
              </w:rPr>
            </w:pPr>
            <w:r>
              <w:rPr>
                <w:rFonts w:ascii="宋体" w:hAnsi="宋体" w:eastAsia="宋体"/>
                <w:sz w:val="18"/>
                <w:szCs w:val="18"/>
              </w:rPr>
              <w:t>二次负载：</w:t>
            </w:r>
            <w:r>
              <w:rPr>
                <w:rFonts w:ascii="Times New Roman" w:hAnsi="Times New Roman" w:eastAsia="Times New Roman"/>
                <w:sz w:val="18"/>
                <w:szCs w:val="18"/>
              </w:rPr>
              <w:t>20</w:t>
            </w:r>
            <w:r>
              <w:rPr>
                <w:rFonts w:ascii="宋体" w:hAnsi="宋体" w:eastAsia="宋体"/>
                <w:sz w:val="18"/>
                <w:szCs w:val="18"/>
              </w:rPr>
              <w:t>Ω</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765" w:hRule="atLeast"/>
        </w:trPr>
        <w:tc>
          <w:tcPr>
            <w:tcW w:w="705" w:type="dxa"/>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微软雅黑" w:hAnsi="微软雅黑" w:eastAsia="微软雅黑"/>
                <w:sz w:val="24"/>
                <w:szCs w:val="24"/>
              </w:rPr>
            </w:pPr>
            <w:r>
              <w:rPr>
                <w:rFonts w:ascii="宋体" w:hAnsi="宋体" w:eastAsia="宋体"/>
                <w:sz w:val="20"/>
                <w:szCs w:val="20"/>
              </w:rPr>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微软雅黑" w:hAnsi="微软雅黑" w:eastAsia="微软雅黑"/>
                <w:sz w:val="24"/>
                <w:szCs w:val="24"/>
              </w:rPr>
            </w:pPr>
            <w:r>
              <w:rPr>
                <w:rFonts w:ascii="宋体" w:hAnsi="宋体" w:eastAsia="宋体"/>
                <w:sz w:val="20"/>
                <w:szCs w:val="20"/>
              </w:rPr>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HLX3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河北申科电子股份有限公司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变比：1(10)A/2.5mA</w:t>
            </w:r>
          </w:p>
          <w:p>
            <w:pPr>
              <w:spacing w:line="192" w:lineRule="auto"/>
              <w:ind/>
              <w:jc w:val="left"/>
              <w:rPr>
                <w:rFonts w:ascii="宋体" w:hAnsi="宋体" w:eastAsia="宋体"/>
                <w:sz w:val="18"/>
                <w:szCs w:val="18"/>
              </w:rPr>
            </w:pPr>
            <w:r>
              <w:rPr>
                <w:rFonts w:ascii="宋体" w:hAnsi="宋体" w:eastAsia="宋体"/>
                <w:sz w:val="18"/>
                <w:szCs w:val="18"/>
              </w:rPr>
              <w:t>精度等级：0.1级</w:t>
            </w:r>
          </w:p>
          <w:p>
            <w:pPr>
              <w:spacing w:line="192" w:lineRule="auto"/>
              <w:ind/>
              <w:jc w:val="left"/>
              <w:rPr>
                <w:rFonts w:ascii="宋体" w:hAnsi="宋体" w:eastAsia="宋体"/>
                <w:sz w:val="18"/>
                <w:szCs w:val="18"/>
              </w:rPr>
            </w:pPr>
            <w:r>
              <w:rPr>
                <w:rFonts w:ascii="宋体" w:hAnsi="宋体" w:eastAsia="宋体"/>
                <w:sz w:val="18"/>
                <w:szCs w:val="18"/>
              </w:rPr>
              <w:t>二次负载：20Ω</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765" w:hRule="atLeast"/>
        </w:trPr>
        <w:tc>
          <w:tcPr>
            <w:tcW w:w="705" w:type="dxa"/>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微软雅黑" w:hAnsi="微软雅黑" w:eastAsia="微软雅黑"/>
                <w:sz w:val="24"/>
                <w:szCs w:val="24"/>
              </w:rPr>
            </w:pPr>
            <w:r>
              <w:rPr>
                <w:rFonts w:ascii="宋体" w:hAnsi="宋体" w:eastAsia="宋体"/>
                <w:sz w:val="20"/>
                <w:szCs w:val="20"/>
              </w:rPr>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微软雅黑" w:hAnsi="微软雅黑" w:eastAsia="微软雅黑"/>
                <w:sz w:val="24"/>
                <w:szCs w:val="24"/>
              </w:rPr>
            </w:pPr>
            <w:r>
              <w:rPr>
                <w:rFonts w:ascii="宋体" w:hAnsi="宋体" w:eastAsia="宋体"/>
                <w:sz w:val="20"/>
                <w:szCs w:val="20"/>
              </w:rPr>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HLT3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河北申科电子股份有限公司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变比：5(60)A/2mA</w:t>
            </w:r>
          </w:p>
          <w:p>
            <w:pPr>
              <w:spacing w:line="192" w:lineRule="auto"/>
              <w:ind/>
              <w:jc w:val="left"/>
              <w:rPr>
                <w:rFonts w:ascii="宋体" w:hAnsi="宋体" w:eastAsia="宋体"/>
                <w:sz w:val="18"/>
                <w:szCs w:val="18"/>
              </w:rPr>
            </w:pPr>
            <w:r>
              <w:rPr>
                <w:rFonts w:ascii="宋体" w:hAnsi="宋体" w:eastAsia="宋体"/>
                <w:sz w:val="18"/>
                <w:szCs w:val="18"/>
              </w:rPr>
              <w:t>精度等级：0.1级</w:t>
            </w:r>
          </w:p>
          <w:p>
            <w:pPr>
              <w:spacing w:line="192" w:lineRule="auto"/>
              <w:ind/>
              <w:jc w:val="left"/>
              <w:rPr>
                <w:rFonts w:ascii="宋体" w:hAnsi="宋体" w:eastAsia="宋体"/>
                <w:sz w:val="18"/>
                <w:szCs w:val="18"/>
              </w:rPr>
            </w:pPr>
            <w:r>
              <w:rPr>
                <w:rFonts w:ascii="宋体" w:hAnsi="宋体" w:eastAsia="宋体"/>
                <w:sz w:val="18"/>
                <w:szCs w:val="18"/>
              </w:rPr>
              <w:t>二次负载：20Ω</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765" w:hRule="atLeast"/>
        </w:trPr>
        <w:tc>
          <w:tcPr>
            <w:tcW w:w="705" w:type="dxa"/>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微软雅黑" w:hAnsi="微软雅黑" w:eastAsia="微软雅黑"/>
                <w:sz w:val="24"/>
                <w:szCs w:val="24"/>
              </w:rPr>
            </w:pPr>
            <w:r>
              <w:rPr>
                <w:rFonts w:ascii="宋体" w:hAnsi="宋体" w:eastAsia="宋体"/>
                <w:sz w:val="20"/>
                <w:szCs w:val="20"/>
              </w:rPr>
            </w:r>
          </w:p>
        </w:tc>
        <w:tc>
          <w:tcPr>
            <w:tcW w:w="1320" w:type="dxa"/>
            <w:vMerge w:val="continue"/>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微软雅黑" w:hAnsi="微软雅黑" w:eastAsia="微软雅黑"/>
                <w:sz w:val="24"/>
                <w:szCs w:val="24"/>
              </w:rPr>
            </w:pPr>
            <w:r>
              <w:rPr>
                <w:rFonts w:ascii="宋体" w:hAnsi="宋体" w:eastAsia="宋体"/>
                <w:sz w:val="20"/>
                <w:szCs w:val="20"/>
              </w:rPr>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HLT3</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河北申科电子股份有限公司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变比：</w:t>
            </w:r>
            <w:r>
              <w:rPr>
                <w:rFonts w:ascii="Times New Roman" w:hAnsi="Times New Roman" w:eastAsia="Times New Roman"/>
                <w:sz w:val="18"/>
                <w:szCs w:val="18"/>
              </w:rPr>
              <w:t xml:space="preserve"> 10</w:t>
            </w:r>
            <w:r>
              <w:rPr>
                <w:rFonts w:ascii="宋体" w:hAnsi="宋体" w:eastAsia="宋体"/>
                <w:sz w:val="18"/>
                <w:szCs w:val="18"/>
              </w:rPr>
              <w:t>（</w:t>
            </w:r>
            <w:r>
              <w:rPr>
                <w:rFonts w:ascii="Times New Roman" w:hAnsi="Times New Roman" w:eastAsia="Times New Roman"/>
                <w:sz w:val="18"/>
                <w:szCs w:val="18"/>
              </w:rPr>
              <w:t>100</w:t>
            </w:r>
            <w:r>
              <w:rPr>
                <w:rFonts w:ascii="宋体" w:hAnsi="宋体" w:eastAsia="宋体"/>
                <w:sz w:val="18"/>
                <w:szCs w:val="18"/>
              </w:rPr>
              <w:t>）</w:t>
            </w:r>
            <w:r>
              <w:rPr>
                <w:rFonts w:ascii="Times New Roman" w:hAnsi="Times New Roman" w:eastAsia="Times New Roman"/>
                <w:sz w:val="18"/>
                <w:szCs w:val="18"/>
              </w:rPr>
              <w:t>A/2.5mA</w:t>
            </w:r>
          </w:p>
          <w:p>
            <w:pPr>
              <w:spacing w:line="192" w:lineRule="auto"/>
              <w:ind/>
              <w:jc w:val="left"/>
              <w:rPr>
                <w:rFonts w:ascii="宋体" w:hAnsi="宋体" w:eastAsia="宋体"/>
                <w:sz w:val="18"/>
                <w:szCs w:val="18"/>
              </w:rPr>
            </w:pPr>
            <w:r>
              <w:rPr>
                <w:rFonts w:ascii="宋体" w:hAnsi="宋体" w:eastAsia="宋体"/>
                <w:sz w:val="18"/>
                <w:szCs w:val="18"/>
              </w:rPr>
              <w:t>精度等级：0.1级</w:t>
            </w:r>
          </w:p>
          <w:p>
            <w:pPr>
              <w:spacing w:line="192" w:lineRule="auto"/>
              <w:ind/>
              <w:jc w:val="left"/>
              <w:rPr>
                <w:rFonts w:ascii="宋体" w:hAnsi="宋体" w:eastAsia="宋体"/>
                <w:sz w:val="18"/>
                <w:szCs w:val="18"/>
              </w:rPr>
            </w:pPr>
            <w:r>
              <w:rPr>
                <w:rFonts w:ascii="宋体" w:hAnsi="宋体" w:eastAsia="宋体"/>
                <w:sz w:val="18"/>
                <w:szCs w:val="18"/>
              </w:rPr>
              <w:t>二次负载：20Ω</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765"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5</w:t>
            </w:r>
          </w:p>
        </w:tc>
        <w:tc>
          <w:tcPr>
            <w:tcW w:w="132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液晶</w:t>
            </w:r>
          </w:p>
        </w:tc>
        <w:tc>
          <w:tcPr>
            <w:tcW w:w="232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1"/>
                <w:szCs w:val="21"/>
              </w:rPr>
            </w:pPr>
            <w:r>
              <w:rPr>
                <w:rFonts w:ascii="宋体" w:hAnsi="宋体" w:eastAsia="宋体"/>
                <w:sz w:val="20"/>
                <w:szCs w:val="20"/>
              </w:rPr>
              <w:t>QHA20686-DPFSP-01</w:t>
            </w:r>
          </w:p>
        </w:tc>
        <w:tc>
          <w:tcPr>
            <w:tcW w:w="166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江西合力泰科技有限公司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line="192" w:lineRule="auto"/>
              <w:ind/>
              <w:jc w:val="left"/>
              <w:rPr>
                <w:rFonts w:ascii="宋体" w:hAnsi="宋体" w:eastAsia="宋体"/>
                <w:sz w:val="18"/>
                <w:szCs w:val="18"/>
              </w:rPr>
            </w:pPr>
            <w:r>
              <w:rPr>
                <w:rFonts w:ascii="宋体" w:hAnsi="宋体" w:eastAsia="宋体"/>
                <w:sz w:val="18"/>
                <w:szCs w:val="18"/>
              </w:rPr>
              <w:t>工作温度：-35℃～+75℃</w:t>
            </w:r>
          </w:p>
          <w:p>
            <w:pPr>
              <w:spacing w:line="192" w:lineRule="auto"/>
              <w:ind/>
              <w:jc w:val="left"/>
              <w:rPr>
                <w:rFonts w:ascii="宋体" w:hAnsi="宋体" w:eastAsia="宋体"/>
                <w:sz w:val="18"/>
                <w:szCs w:val="18"/>
              </w:rPr>
            </w:pPr>
            <w:r>
              <w:rPr>
                <w:rFonts w:ascii="宋体" w:hAnsi="宋体" w:eastAsia="宋体"/>
                <w:sz w:val="18"/>
                <w:szCs w:val="18"/>
              </w:rPr>
              <w:t>工作电压：4.5V</w:t>
            </w:r>
          </w:p>
          <w:p>
            <w:pPr>
              <w:spacing w:line="192" w:lineRule="auto"/>
              <w:ind/>
              <w:jc w:val="left"/>
              <w:rPr>
                <w:rFonts w:ascii="宋体" w:hAnsi="宋体" w:eastAsia="宋体"/>
                <w:sz w:val="18"/>
                <w:szCs w:val="18"/>
              </w:rPr>
            </w:pPr>
            <w:r>
              <w:rPr>
                <w:rFonts w:ascii="宋体" w:hAnsi="宋体" w:eastAsia="宋体"/>
                <w:sz w:val="18"/>
                <w:szCs w:val="18"/>
              </w:rPr>
              <w:t>驱动频率：64Hz</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27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6</w:t>
            </w:r>
          </w:p>
        </w:tc>
        <w:tc>
          <w:tcPr>
            <w:tcW w:w="13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铭牌</w:t>
            </w:r>
          </w:p>
        </w:tc>
        <w:tc>
          <w:tcPr>
            <w:tcW w:w="23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定制</w:t>
            </w:r>
          </w:p>
        </w:tc>
        <w:tc>
          <w:tcPr>
            <w:tcW w:w="16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江苏延令电器有限公司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line="192" w:lineRule="auto"/>
              <w:ind/>
              <w:jc w:val="left"/>
              <w:rPr>
                <w:rFonts w:ascii="宋体" w:hAnsi="宋体" w:eastAsia="宋体"/>
                <w:sz w:val="18"/>
                <w:szCs w:val="18"/>
              </w:rPr>
            </w:pPr>
            <w:r>
              <w:rPr>
                <w:rFonts w:ascii="宋体" w:hAnsi="宋体" w:eastAsia="宋体"/>
                <w:sz w:val="18"/>
                <w:szCs w:val="18"/>
              </w:rPr>
              <w:t>/</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r>
        <w:trPr>
          <w:trHeight w:val="270" w:hRule="atLeast"/>
        </w:trPr>
        <w:tc>
          <w:tcPr>
            <w:tcW w:w="705" w:type="dxa"/>
            <w:tcBorders>
              <w:top w:val="single" w:color="000000" w:sz="8" w:space="0"/>
              <w:left w:val="single" w:color="000000" w:sz="8" w:space="0"/>
              <w:bottom w:val="single" w:color="000000" w:sz="8" w:space="0"/>
              <w:right w:val="single" w:color="000000" w:sz="8" w:space="0"/>
            </w:tcBorders>
            <w:shd w:val="clear" w:color="auto" w:fill="ffffff"/>
            <w:vAlign w:val="top"/>
          </w:tcPr>
          <w:p>
            <w:pPr>
              <w:spacing/>
              <w:ind/>
              <w:jc w:val="left"/>
              <w:rPr>
                <w:rFonts w:ascii="宋体" w:hAnsi="宋体" w:eastAsia="宋体"/>
                <w:sz w:val="20"/>
                <w:szCs w:val="20"/>
              </w:rPr>
            </w:pPr>
            <w:r>
              <w:rPr>
                <w:rFonts w:ascii="宋体" w:hAnsi="宋体" w:eastAsia="宋体"/>
                <w:sz w:val="20"/>
                <w:szCs w:val="20"/>
              </w:rPr>
              <w:t>7</w:t>
            </w:r>
          </w:p>
        </w:tc>
        <w:tc>
          <w:tcPr>
            <w:tcW w:w="13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表壳</w:t>
            </w:r>
          </w:p>
        </w:tc>
        <w:tc>
          <w:tcPr>
            <w:tcW w:w="23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定制</w:t>
            </w:r>
          </w:p>
        </w:tc>
        <w:tc>
          <w:tcPr>
            <w:tcW w:w="16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宋体" w:hAnsi="宋体" w:eastAsia="宋体"/>
                <w:sz w:val="20"/>
                <w:szCs w:val="20"/>
              </w:rPr>
            </w:pPr>
            <w:r>
              <w:rPr>
                <w:rFonts w:ascii="宋体" w:hAnsi="宋体" w:eastAsia="宋体"/>
                <w:sz w:val="20"/>
                <w:szCs w:val="20"/>
              </w:rPr>
              <w:t>青岛鼎信通讯智能装备有限公司</w:t>
            </w:r>
          </w:p>
        </w:tc>
        <w:tc>
          <w:tcPr>
            <w:tcW w:w="258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line="192" w:lineRule="auto"/>
              <w:ind/>
              <w:jc w:val="left"/>
              <w:rPr>
                <w:rFonts w:ascii="宋体" w:hAnsi="宋体" w:eastAsia="宋体"/>
                <w:sz w:val="18"/>
                <w:szCs w:val="18"/>
              </w:rPr>
            </w:pPr>
            <w:r>
              <w:rPr>
                <w:rFonts w:ascii="宋体" w:hAnsi="宋体" w:eastAsia="宋体"/>
                <w:sz w:val="18"/>
                <w:szCs w:val="18"/>
              </w:rPr>
              <w:t>/</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left"/>
              <w:rPr>
                <w:rFonts w:ascii="微软雅黑" w:hAnsi="微软雅黑" w:eastAsia="微软雅黑"/>
                <w:sz w:val="24"/>
                <w:szCs w:val="24"/>
              </w:rPr>
            </w:pPr>
            <w:r>
              <w:rPr>
                <w:rFonts w:ascii="宋体" w:hAnsi="宋体" w:eastAsia="宋体"/>
                <w:sz w:val="20"/>
                <w:szCs w:val="20"/>
              </w:rPr>
            </w:r>
          </w:p>
        </w:tc>
      </w:tr>
    </w:tbl>
    <w:p>
      <w:pPr>
        <w:pStyle w:val="heading1"/>
        <w:numPr>
          <w:ilvl w:val="0"/>
          <w:numId w:val="37"/>
        </w:numPr>
        <w:snapToGrid w:val="true"/>
        <w:spacing w:before="312" w:after="312"/>
        <w:ind w:firstLine="0"/>
        <w:jc w:val="both"/>
        <w:rPr>
          <w:rFonts w:ascii="黑体" w:hAnsi="黑体" w:eastAsia="黑体"/>
        </w:rPr>
      </w:pPr>
      <w:r>
        <w:rPr>
          <w:rFonts w:hint="eastAsia"/>
        </w:rPr>
      </w:r>
      <w:r>
        <w:rPr>
          <w:rFonts w:ascii="黑体" w:hAnsi="黑体" w:eastAsia="黑体"/>
        </w:rPr>
        <w:t>安装与接线</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外形图与安装尺寸</w:t>
      </w:r>
    </w:p>
    <w:p>
      <w:pPr>
        <w:spacing w:before="24"/>
        <w:ind w:firstLineChars="200"/>
        <w:jc w:val="both"/>
        <w:rPr>
          <w:rFonts w:ascii="宋体" w:hAnsi="宋体" w:eastAsia="宋体"/>
          <w:sz w:val="21"/>
          <w:szCs w:val="21"/>
        </w:rPr>
      </w:pPr>
      <w:r>
        <w:rPr>
          <w:rFonts w:ascii="宋体" w:hAnsi="宋体" w:eastAsia="宋体"/>
          <w:sz w:val="21"/>
          <w:szCs w:val="21"/>
        </w:rPr>
        <w:t>（单位：</w:t>
      </w:r>
      <w:r>
        <w:rPr>
          <w:rFonts w:ascii="Times New Roman" w:hAnsi="Times New Roman" w:eastAsia="Times New Roman"/>
          <w:sz w:val="21"/>
          <w:szCs w:val="21"/>
        </w:rPr>
        <w:t>mm</w:t>
      </w:r>
      <w:r>
        <w:rPr>
          <w:rFonts w:ascii="宋体" w:hAnsi="宋体" w:eastAsia="宋体"/>
          <w:sz w:val="21"/>
          <w:szCs w:val="21"/>
        </w:rPr>
        <w:t>）</w:t>
      </w:r>
    </w:p>
    <w:p>
      <w:pPr>
        <w:spacing w:before="37" w:after="187"/>
        <w:ind/>
        <w:jc w:val="center"/>
        <w:rPr>
          <w:rFonts w:ascii="宋体" w:hAnsi="宋体" w:eastAsia="宋体"/>
          <w:sz w:val="21"/>
          <w:szCs w:val="21"/>
        </w:rPr>
      </w:pPr>
      <w:r>
        <w:rPr>
          <w:rFonts w:ascii="微软雅黑" w:hAnsi="微软雅黑" w:eastAsia="微软雅黑"/>
          <w:sz w:val="21"/>
          <w:szCs w:val="21"/>
        </w:rPr>
        <w:drawing>
          <wp:inline distT="0" distB="0" distL="0" distR="0">
            <wp:extent cx="2219325" cy="3409950"/>
            <wp:effectExtent l="0" t="0" r="0" b="0"/>
            <wp:docPr id="11" name="" descr=""/>
            <wp:cNvGraphicFramePr>
              <a:graphicFrameLocks noChangeAspect="true"/>
            </wp:cNvGraphicFramePr>
            <a:graphic>
              <a:graphicData uri="http://schemas.openxmlformats.org/drawingml/2006/picture">
                <pic:pic>
                  <pic:nvPicPr>
                    <pic:cNvPr id="11" name=""/>
                    <pic:cNvPicPr/>
                  </pic:nvPicPr>
                  <pic:blipFill>
                    <a:blip r:embed="rId45"/>
                    <a:stretch>
                      <a:fillRect/>
                    </a:stretch>
                  </pic:blipFill>
                  <pic:spPr>
                    <a:xfrm>
                      <a:off x="0" y="0"/>
                      <a:ext cx="2219325" cy="3409950"/>
                    </a:xfrm>
                    <a:prstGeom prst="rect">
                      <a:avLst/>
                    </a:prstGeom>
                  </pic:spPr>
                </pic:pic>
              </a:graphicData>
            </a:graphic>
          </wp:inline>
        </w:drawing>
      </w:r>
    </w:p>
    <w:p>
      <w:pPr>
        <w:spacing w:before="37" w:after="187"/>
        <w:ind/>
        <w:jc w:val="center"/>
        <w:rPr>
          <w:rFonts w:ascii="宋体" w:hAnsi="宋体" w:eastAsia="宋体"/>
          <w:sz w:val="21"/>
          <w:szCs w:val="21"/>
        </w:rPr>
      </w:pPr>
      <w:r>
        <w:rPr>
          <w:rFonts w:ascii="微软雅黑" w:hAnsi="微软雅黑" w:eastAsia="微软雅黑"/>
          <w:sz w:val="21"/>
          <w:szCs w:val="21"/>
        </w:rPr>
        <w:drawing>
          <wp:inline distT="0" distB="0" distL="0" distR="0">
            <wp:extent cx="3400425" cy="3324225"/>
            <wp:effectExtent l="0" t="0" r="0" b="0"/>
            <wp:docPr id="12" name="" descr=""/>
            <wp:cNvGraphicFramePr>
              <a:graphicFrameLocks noChangeAspect="true"/>
            </wp:cNvGraphicFramePr>
            <a:graphic>
              <a:graphicData uri="http://schemas.openxmlformats.org/drawingml/2006/picture">
                <pic:pic>
                  <pic:nvPicPr>
                    <pic:cNvPr id="12" name=""/>
                    <pic:cNvPicPr/>
                  </pic:nvPicPr>
                  <pic:blipFill>
                    <a:blip r:embed="rId46"/>
                    <a:stretch>
                      <a:fillRect/>
                    </a:stretch>
                  </pic:blipFill>
                  <pic:spPr>
                    <a:xfrm>
                      <a:off x="0" y="0"/>
                      <a:ext cx="3400425" cy="3324225"/>
                    </a:xfrm>
                    <a:prstGeom prst="rect">
                      <a:avLst/>
                    </a:prstGeom>
                  </pic:spPr>
                </pic:pic>
              </a:graphicData>
            </a:graphic>
          </wp:inline>
        </w:drawing>
      </w:r>
    </w:p>
    <w:p>
      <w:pPr>
        <w:spacing w:before="156" w:after="156"/>
        <w:ind/>
        <w:jc w:val="center"/>
        <w:rPr>
          <w:rFonts w:ascii="宋体" w:hAnsi="宋体" w:eastAsia="宋体"/>
          <w:sz w:val="21"/>
          <w:szCs w:val="21"/>
        </w:rPr>
      </w:pPr>
      <w:r>
        <w:rPr>
          <w:rFonts w:ascii="黑体" w:hAnsi="黑体" w:eastAsia="黑体"/>
          <w:sz w:val="21"/>
          <w:szCs w:val="21"/>
        </w:rPr>
        <w:t xml:space="preserve">图 </w:t>
      </w:r>
      <w:r>
        <w:rPr>
          <w:rFonts w:ascii="Times New Roman" w:hAnsi="Times New Roman" w:eastAsia="Times New Roman"/>
          <w:sz w:val="21"/>
          <w:szCs w:val="21"/>
        </w:rPr>
      </w:r>
      <w:r>
        <w:rPr>
          <w:rFonts w:ascii="Times New Roman" w:hAnsi="Times New Roman" w:eastAsia="Times New Roman"/>
          <w:sz w:val="21"/>
          <w:szCs w:val="21"/>
        </w:rPr>
      </w:r>
      <w:r>
        <w:rPr>
          <w:rFonts w:ascii="Times New Roman" w:hAnsi="Times New Roman" w:eastAsia="Times New Roman"/>
          <w:sz w:val="21"/>
          <w:szCs w:val="21"/>
        </w:rPr>
        <w:t>7</w:t>
      </w:r>
      <w:r>
        <w:rPr>
          <w:rFonts w:ascii="Times New Roman" w:hAnsi="Times New Roman" w:eastAsia="Times New Roman"/>
          <w:sz w:val="21"/>
          <w:szCs w:val="21"/>
        </w:rPr>
      </w:r>
      <w:r>
        <w:rPr>
          <w:rFonts w:ascii="Times New Roman" w:hAnsi="Times New Roman" w:eastAsia="Times New Roman"/>
          <w:sz w:val="21"/>
          <w:szCs w:val="21"/>
        </w:rPr>
        <w:t>.</w:t>
      </w:r>
      <w:r>
        <w:rPr>
          <w:rFonts w:ascii="Times New Roman" w:hAnsi="Times New Roman" w:eastAsia="Times New Roman"/>
          <w:sz w:val="21"/>
          <w:szCs w:val="21"/>
        </w:rPr>
      </w:r>
      <w:r>
        <w:rPr>
          <w:rFonts w:ascii="Times New Roman" w:hAnsi="Times New Roman" w:eastAsia="Times New Roman"/>
          <w:sz w:val="21"/>
          <w:szCs w:val="21"/>
        </w:rPr>
      </w:r>
      <w:r>
        <w:rPr>
          <w:rFonts w:ascii="Times New Roman" w:hAnsi="Times New Roman" w:eastAsia="Times New Roman"/>
          <w:sz w:val="21"/>
          <w:szCs w:val="21"/>
        </w:rPr>
        <w:t>1</w:t>
      </w:r>
      <w:r>
        <w:rPr>
          <w:rFonts w:ascii="Times New Roman" w:hAnsi="Times New Roman" w:eastAsia="Times New Roman"/>
          <w:sz w:val="21"/>
          <w:szCs w:val="21"/>
        </w:rPr>
      </w:r>
      <w:r>
        <w:rPr>
          <w:rFonts w:ascii="黑体" w:hAnsi="黑体" w:eastAsia="黑体"/>
          <w:sz w:val="21"/>
          <w:szCs w:val="21"/>
        </w:rPr>
        <w:t>外形图与安装尺寸</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状态指示</w:t>
      </w:r>
    </w:p>
    <w:p>
      <w:pPr>
        <w:spacing w:before="24"/>
        <w:ind w:firstLineChars="200"/>
        <w:jc w:val="both"/>
        <w:rPr>
          <w:rFonts w:ascii="宋体" w:hAnsi="宋体" w:eastAsia="宋体"/>
          <w:sz w:val="21"/>
          <w:szCs w:val="21"/>
        </w:rPr>
      </w:pPr>
      <w:r>
        <w:rPr>
          <w:rFonts w:ascii="宋体" w:hAnsi="宋体" w:eastAsia="宋体"/>
          <w:sz w:val="21"/>
          <w:szCs w:val="21"/>
        </w:rPr>
        <w:t>在液晶显示屏下方共设置有3个超亮、长寿命LED作为指示灯，用来指示电能表的各种运行状态，分别定义如下：</w:t>
      </w:r>
    </w:p>
    <w:p>
      <w:pPr>
        <w:numPr>
          <w:ilvl w:val="0"/>
          <w:numId w:val="45"/>
        </w:numPr>
        <w:spacing w:before="24"/>
        <w:ind w:left="851" w:hanging="425"/>
        <w:jc w:val="left"/>
        <w:rPr>
          <w:rFonts w:ascii="宋体" w:hAnsi="宋体" w:eastAsia="宋体"/>
          <w:sz w:val="21"/>
          <w:szCs w:val="21"/>
        </w:rPr>
      </w:pPr>
      <w:r>
        <w:rPr>
          <w:rFonts w:hint="eastAsia"/>
        </w:rPr>
      </w:r>
      <w:r>
        <w:rPr>
          <w:rFonts w:ascii="宋体" w:hAnsi="宋体" w:eastAsia="宋体"/>
          <w:sz w:val="21"/>
          <w:szCs w:val="21"/>
        </w:rPr>
        <w:t>有功电能脉冲指示灯：红色；平时灭，计量有功电能时闪烁。</w:t>
      </w:r>
    </w:p>
    <w:p>
      <w:pPr>
        <w:numPr>
          <w:ilvl w:val="0"/>
          <w:numId w:val="45"/>
        </w:numPr>
        <w:spacing w:before="24"/>
        <w:ind w:left="851" w:hanging="425"/>
        <w:jc w:val="left"/>
        <w:rPr>
          <w:rFonts w:ascii="宋体" w:hAnsi="宋体" w:eastAsia="宋体"/>
          <w:sz w:val="21"/>
          <w:szCs w:val="21"/>
        </w:rPr>
      </w:pPr>
      <w:r>
        <w:rPr>
          <w:rFonts w:hint="eastAsia"/>
        </w:rPr>
      </w:r>
      <w:r>
        <w:rPr>
          <w:rFonts w:ascii="宋体" w:hAnsi="宋体" w:eastAsia="宋体"/>
          <w:sz w:val="21"/>
          <w:szCs w:val="21"/>
        </w:rPr>
        <w:t>无功电能脉冲指示灯：红色；平时灭，计量无功电能时闪烁。</w:t>
      </w:r>
    </w:p>
    <w:p>
      <w:pPr>
        <w:numPr>
          <w:ilvl w:val="0"/>
          <w:numId w:val="45"/>
        </w:numPr>
        <w:spacing w:before="24"/>
        <w:ind w:left="851" w:hanging="425"/>
        <w:jc w:val="left"/>
        <w:rPr>
          <w:rFonts w:ascii="宋体" w:hAnsi="宋体" w:eastAsia="宋体"/>
          <w:sz w:val="21"/>
          <w:szCs w:val="21"/>
        </w:rPr>
      </w:pPr>
      <w:r>
        <w:rPr>
          <w:rFonts w:hint="eastAsia"/>
        </w:rPr>
      </w:r>
      <w:r>
        <w:rPr>
          <w:rFonts w:ascii="宋体" w:hAnsi="宋体" w:eastAsia="宋体"/>
          <w:sz w:val="21"/>
          <w:szCs w:val="21"/>
        </w:rPr>
        <w:t>跳闸指示灯：黄色；平时灭，负荷开关分断时亮。</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接线端子图</w:t>
      </w:r>
    </w:p>
    <w:p>
      <w:pPr>
        <w:numPr>
          <w:ilvl w:val="2"/>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接线端子图</w:t>
      </w:r>
    </w:p>
    <w:p>
      <w:pPr>
        <w:spacing w:before="37" w:after="187"/>
        <w:ind/>
        <w:jc w:val="center"/>
        <w:rPr>
          <w:rFonts w:ascii="宋体" w:hAnsi="宋体" w:eastAsia="宋体"/>
          <w:sz w:val="21"/>
          <w:szCs w:val="21"/>
        </w:rPr>
      </w:pPr>
      <w:r>
        <w:rPr>
          <w:rFonts w:ascii="微软雅黑" w:hAnsi="微软雅黑" w:eastAsia="微软雅黑"/>
          <w:sz w:val="21"/>
          <w:szCs w:val="21"/>
        </w:rPr>
        <w:drawing>
          <wp:inline distT="0" distB="0" distL="0" distR="0">
            <wp:extent cx="2524125" cy="1143000"/>
            <wp:effectExtent l="0" t="0" r="0" b="0"/>
            <wp:docPr id="13" name="" descr=""/>
            <wp:cNvGraphicFramePr>
              <a:graphicFrameLocks noChangeAspect="true"/>
            </wp:cNvGraphicFramePr>
            <a:graphic>
              <a:graphicData uri="http://schemas.openxmlformats.org/drawingml/2006/picture">
                <pic:pic>
                  <pic:nvPicPr>
                    <pic:cNvPr id="13" name=""/>
                    <pic:cNvPicPr/>
                  </pic:nvPicPr>
                  <pic:blipFill>
                    <a:blip r:embed="rId47"/>
                    <a:stretch>
                      <a:fillRect/>
                    </a:stretch>
                  </pic:blipFill>
                  <pic:spPr>
                    <a:xfrm>
                      <a:off x="0" y="0"/>
                      <a:ext cx="2524125" cy="1143000"/>
                    </a:xfrm>
                    <a:prstGeom prst="rect">
                      <a:avLst/>
                    </a:prstGeom>
                  </pic:spPr>
                </pic:pic>
              </a:graphicData>
            </a:graphic>
          </wp:inline>
        </w:drawing>
      </w:r>
    </w:p>
    <w:p>
      <w:pPr>
        <w:spacing w:before="37" w:after="187"/>
        <w:ind/>
        <w:jc w:val="center"/>
        <w:rPr>
          <w:rFonts w:ascii="宋体" w:hAnsi="宋体" w:eastAsia="宋体"/>
          <w:sz w:val="21"/>
          <w:szCs w:val="21"/>
        </w:rPr>
      </w:pPr>
      <w:r>
        <w:rPr>
          <w:rFonts w:ascii="微软雅黑" w:hAnsi="微软雅黑" w:eastAsia="微软雅黑"/>
          <w:sz w:val="21"/>
          <w:szCs w:val="21"/>
        </w:rPr>
        <w:drawing>
          <wp:inline distT="0" distB="0" distL="0" distR="0">
            <wp:extent cx="2543175" cy="1143000"/>
            <wp:effectExtent l="0" t="0" r="0" b="0"/>
            <wp:docPr id="14" name="" descr=""/>
            <wp:cNvGraphicFramePr>
              <a:graphicFrameLocks noChangeAspect="true"/>
            </wp:cNvGraphicFramePr>
            <a:graphic>
              <a:graphicData uri="http://schemas.openxmlformats.org/drawingml/2006/picture">
                <pic:pic>
                  <pic:nvPicPr>
                    <pic:cNvPr id="14" name=""/>
                    <pic:cNvPicPr/>
                  </pic:nvPicPr>
                  <pic:blipFill>
                    <a:blip r:embed="rId48"/>
                    <a:stretch>
                      <a:fillRect/>
                    </a:stretch>
                  </pic:blipFill>
                  <pic:spPr>
                    <a:xfrm>
                      <a:off x="0" y="0"/>
                      <a:ext cx="2543175" cy="1143000"/>
                    </a:xfrm>
                    <a:prstGeom prst="rect">
                      <a:avLst/>
                    </a:prstGeom>
                  </pic:spPr>
                </pic:pic>
              </a:graphicData>
            </a:graphic>
          </wp:inline>
        </w:drawing>
      </w:r>
      <w:r>
        <w:rPr>
          <w:rFonts w:ascii="Times New Roman" w:hAnsi="Times New Roman" w:eastAsia="Times New Roman"/>
          <w:sz w:val="21"/>
          <w:szCs w:val="21"/>
        </w:rPr>
        <w:t xml:space="preserve">  </w:t>
      </w:r>
    </w:p>
    <w:p>
      <w:pPr>
        <w:spacing w:before="37" w:after="187"/>
        <w:ind/>
        <w:jc w:val="center"/>
        <w:rPr>
          <w:rFonts w:ascii="宋体" w:hAnsi="宋体" w:eastAsia="宋体"/>
          <w:sz w:val="21"/>
          <w:szCs w:val="21"/>
        </w:rPr>
      </w:pPr>
      <w:r>
        <w:rPr>
          <w:rFonts w:ascii="微软雅黑" w:hAnsi="微软雅黑" w:eastAsia="微软雅黑"/>
          <w:sz w:val="21"/>
          <w:szCs w:val="21"/>
        </w:rPr>
        <w:drawing>
          <wp:inline distT="0" distB="0" distL="0" distR="0">
            <wp:extent cx="2590800" cy="1152525"/>
            <wp:effectExtent l="0" t="0" r="0" b="0"/>
            <wp:docPr id="15" name="" descr=""/>
            <wp:cNvGraphicFramePr>
              <a:graphicFrameLocks noChangeAspect="true"/>
            </wp:cNvGraphicFramePr>
            <a:graphic>
              <a:graphicData uri="http://schemas.openxmlformats.org/drawingml/2006/picture">
                <pic:pic>
                  <pic:nvPicPr>
                    <pic:cNvPr id="15" name=""/>
                    <pic:cNvPicPr/>
                  </pic:nvPicPr>
                  <pic:blipFill>
                    <a:blip r:embed="rId49"/>
                    <a:stretch>
                      <a:fillRect/>
                    </a:stretch>
                  </pic:blipFill>
                  <pic:spPr>
                    <a:xfrm>
                      <a:off x="0" y="0"/>
                      <a:ext cx="2590800" cy="1152525"/>
                    </a:xfrm>
                    <a:prstGeom prst="rect">
                      <a:avLst/>
                    </a:prstGeom>
                  </pic:spPr>
                </pic:pic>
              </a:graphicData>
            </a:graphic>
          </wp:inline>
        </w:drawing>
      </w:r>
    </w:p>
    <w:p>
      <w:pPr>
        <w:spacing w:before="156" w:after="156"/>
        <w:ind/>
        <w:jc w:val="center"/>
        <w:rPr>
          <w:rFonts w:ascii="宋体" w:hAnsi="宋体" w:eastAsia="宋体"/>
          <w:sz w:val="21"/>
          <w:szCs w:val="21"/>
        </w:rPr>
      </w:pPr>
      <w:r>
        <w:rPr>
          <w:rFonts w:ascii="黑体" w:hAnsi="黑体" w:eastAsia="黑体"/>
          <w:sz w:val="21"/>
          <w:szCs w:val="21"/>
        </w:rPr>
        <w:t xml:space="preserve">图 </w:t>
      </w:r>
      <w:r>
        <w:rPr>
          <w:rFonts w:ascii="黑体" w:hAnsi="黑体" w:eastAsia="黑体"/>
          <w:sz w:val="21"/>
          <w:szCs w:val="21"/>
        </w:rPr>
      </w:r>
      <w:r>
        <w:rPr>
          <w:rFonts w:ascii="黑体" w:hAnsi="黑体" w:eastAsia="黑体"/>
          <w:sz w:val="21"/>
          <w:szCs w:val="21"/>
        </w:rPr>
      </w:r>
      <w:r>
        <w:rPr>
          <w:rFonts w:ascii="黑体" w:hAnsi="黑体" w:eastAsia="黑体"/>
          <w:sz w:val="21"/>
          <w:szCs w:val="21"/>
        </w:rPr>
        <w:t>7</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2</w:t>
      </w:r>
      <w:r>
        <w:rPr>
          <w:rFonts w:ascii="黑体" w:hAnsi="黑体" w:eastAsia="黑体"/>
          <w:sz w:val="21"/>
          <w:szCs w:val="21"/>
        </w:rPr>
      </w:r>
      <w:r>
        <w:rPr>
          <w:rFonts w:ascii="黑体" w:hAnsi="黑体" w:eastAsia="黑体"/>
          <w:sz w:val="21"/>
          <w:szCs w:val="21"/>
        </w:rPr>
        <w:t xml:space="preserve"> 三种接线方式的强电接线端子示意图</w:t>
      </w:r>
    </w:p>
    <w:p>
      <w:pPr>
        <w:spacing w:before="37" w:after="187"/>
        <w:ind/>
        <w:jc w:val="center"/>
        <w:rPr>
          <w:rFonts w:ascii="宋体" w:hAnsi="宋体" w:eastAsia="宋体"/>
          <w:sz w:val="21"/>
          <w:szCs w:val="21"/>
        </w:rPr>
      </w:pPr>
      <w:r>
        <w:rPr>
          <w:rFonts w:ascii="Times New Roman" w:hAnsi="Times New Roman" w:eastAsia="Times New Roman"/>
          <w:sz w:val="21"/>
          <w:szCs w:val="21"/>
        </w:rPr>
        <w:t xml:space="preserve"> </w:t>
      </w:r>
      <w:r>
        <w:rPr>
          <w:rFonts w:ascii="微软雅黑" w:hAnsi="微软雅黑" w:eastAsia="微软雅黑"/>
          <w:sz w:val="21"/>
          <w:szCs w:val="21"/>
        </w:rPr>
        <w:drawing>
          <wp:inline distT="0" distB="0" distL="0" distR="0">
            <wp:extent cx="2695575" cy="1190625"/>
            <wp:effectExtent l="0" t="0" r="0" b="0"/>
            <wp:docPr id="16" name="" descr=""/>
            <wp:cNvGraphicFramePr>
              <a:graphicFrameLocks noChangeAspect="true"/>
            </wp:cNvGraphicFramePr>
            <a:graphic>
              <a:graphicData uri="http://schemas.openxmlformats.org/drawingml/2006/picture">
                <pic:pic>
                  <pic:nvPicPr>
                    <pic:cNvPr id="16" name=""/>
                    <pic:cNvPicPr/>
                  </pic:nvPicPr>
                  <pic:blipFill>
                    <a:blip r:embed="rId50"/>
                    <a:srcRect l="2272" t="4515" r="2447" b="3263"/>
                    <a:stretch>
                      <a:fillRect/>
                    </a:stretch>
                  </pic:blipFill>
                  <pic:spPr>
                    <a:xfrm>
                      <a:off x="0" y="0"/>
                      <a:ext cx="2695575" cy="1190625"/>
                    </a:xfrm>
                    <a:prstGeom prst="rect">
                      <a:avLst/>
                    </a:prstGeom>
                  </pic:spPr>
                </pic:pic>
              </a:graphicData>
            </a:graphic>
          </wp:inline>
        </w:drawing>
      </w:r>
    </w:p>
    <w:p>
      <w:pPr>
        <w:spacing w:before="156" w:after="156"/>
        <w:ind/>
        <w:jc w:val="center"/>
        <w:rPr>
          <w:rFonts w:ascii="黑体" w:hAnsi="黑体" w:eastAsia="黑体"/>
          <w:sz w:val="21"/>
          <w:szCs w:val="21"/>
        </w:rPr>
      </w:pPr>
      <w:r>
        <w:rPr>
          <w:rFonts w:ascii="黑体" w:hAnsi="黑体" w:eastAsia="黑体"/>
          <w:sz w:val="21"/>
          <w:szCs w:val="21"/>
        </w:rPr>
        <w:t xml:space="preserve">图 </w:t>
      </w:r>
      <w:r>
        <w:rPr>
          <w:rFonts w:ascii="黑体" w:hAnsi="黑体" w:eastAsia="黑体"/>
          <w:sz w:val="21"/>
          <w:szCs w:val="21"/>
        </w:rPr>
      </w:r>
      <w:r>
        <w:rPr>
          <w:rFonts w:ascii="黑体" w:hAnsi="黑体" w:eastAsia="黑体"/>
          <w:sz w:val="21"/>
          <w:szCs w:val="21"/>
        </w:rPr>
      </w:r>
      <w:r>
        <w:rPr>
          <w:rFonts w:ascii="黑体" w:hAnsi="黑体" w:eastAsia="黑体"/>
          <w:sz w:val="21"/>
          <w:szCs w:val="21"/>
        </w:rPr>
        <w:t>7</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3</w:t>
      </w:r>
      <w:r>
        <w:rPr>
          <w:rFonts w:ascii="黑体" w:hAnsi="黑体" w:eastAsia="黑体"/>
          <w:sz w:val="21"/>
          <w:szCs w:val="21"/>
        </w:rPr>
      </w:r>
      <w:r>
        <w:rPr>
          <w:rFonts w:ascii="黑体" w:hAnsi="黑体" w:eastAsia="黑体"/>
          <w:sz w:val="21"/>
          <w:szCs w:val="21"/>
        </w:rPr>
        <w:t xml:space="preserve"> 辅助接线端子示意图</w:t>
      </w:r>
    </w:p>
    <w:p>
      <w:pPr>
        <w:spacing/>
        <w:ind/>
        <w:jc w:val="left"/>
        <w:rPr>
          <w:rFonts w:ascii="微软雅黑" w:hAnsi="微软雅黑" w:eastAsia="微软雅黑"/>
          <w:sz w:val="21"/>
          <w:szCs w:val="21"/>
        </w:rPr>
      </w:pPr>
      <w:r>
        <w:rPr>
          <w:rFonts w:ascii="微软雅黑" w:hAnsi="微软雅黑" w:eastAsia="微软雅黑"/>
          <w:sz w:val="21"/>
          <w:szCs w:val="21"/>
        </w:rPr>
      </w:r>
    </w:p>
    <w:p>
      <w:pPr>
        <w:spacing/>
        <w:ind/>
        <w:jc w:val="both"/>
        <w:rPr>
          <w:rFonts w:ascii="微软雅黑" w:hAnsi="微软雅黑" w:eastAsia="微软雅黑"/>
          <w:sz w:val="21"/>
          <w:szCs w:val="21"/>
        </w:rPr>
      </w:pPr>
      <w:r>
        <w:rPr>
          <w:rFonts w:ascii="宋体" w:hAnsi="宋体" w:eastAsia="宋体"/>
          <w:sz w:val="21"/>
          <w:szCs w:val="21"/>
        </w:rPr>
      </w:r>
    </w:p>
    <w:p>
      <w:pPr>
        <w:spacing w:before="156" w:after="156"/>
        <w:ind/>
        <w:jc w:val="center"/>
        <w:rPr>
          <w:rFonts w:ascii="宋体" w:hAnsi="宋体" w:eastAsia="宋体"/>
          <w:sz w:val="21"/>
          <w:szCs w:val="21"/>
        </w:rPr>
      </w:pPr>
      <w:r>
        <w:rPr>
          <w:rFonts w:ascii="黑体" w:hAnsi="黑体" w:eastAsia="黑体"/>
          <w:sz w:val="21"/>
          <w:szCs w:val="21"/>
        </w:rPr>
        <w:t xml:space="preserve">表 </w:t>
      </w:r>
      <w:r>
        <w:rPr>
          <w:rFonts w:ascii="黑体" w:hAnsi="黑体" w:eastAsia="黑体"/>
          <w:sz w:val="21"/>
          <w:szCs w:val="21"/>
        </w:rPr>
      </w:r>
      <w:r>
        <w:rPr>
          <w:rFonts w:ascii="黑体" w:hAnsi="黑体" w:eastAsia="黑体"/>
          <w:sz w:val="21"/>
          <w:szCs w:val="21"/>
        </w:rPr>
      </w:r>
      <w:r>
        <w:rPr>
          <w:rFonts w:ascii="黑体" w:hAnsi="黑体" w:eastAsia="黑体"/>
          <w:sz w:val="21"/>
          <w:szCs w:val="21"/>
        </w:rPr>
        <w:t>7</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1</w:t>
      </w:r>
      <w:r>
        <w:rPr>
          <w:rFonts w:ascii="黑体" w:hAnsi="黑体" w:eastAsia="黑体"/>
          <w:sz w:val="21"/>
          <w:szCs w:val="21"/>
        </w:rPr>
      </w:r>
      <w:r>
        <w:rPr>
          <w:rFonts w:ascii="黑体" w:hAnsi="黑体" w:eastAsia="黑体"/>
          <w:sz w:val="21"/>
          <w:szCs w:val="21"/>
        </w:rPr>
        <w:t>接线端子定义</w:t>
      </w:r>
    </w:p>
    <w:tbl>
      <w:tblPr>
        <w:tblStyle w:val="a7"/>
        <w:tblW w:w="0" w:type="auto"/>
        <w:tblInd w:w="600"/>
        <w:tblLook w:firstRow="1" w:lastRow="0" w:firstColumn="1" w:lastColumn="0" w:noHBand="0" w:noVBand="1" w:val="04A0"/>
      </w:tblPr>
      <w:tblGrid>
        <w:gridCol w:w="465"/>
        <w:gridCol w:w="1500"/>
        <w:gridCol w:w="555"/>
        <w:gridCol w:w="1620"/>
        <w:gridCol w:w="555"/>
        <w:gridCol w:w="1590"/>
        <w:gridCol w:w="555"/>
        <w:gridCol w:w="1590"/>
      </w:tblGrid>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序号</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端子号及其名称</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序号</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端子号及其名称</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序号</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端子号及其名称</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序号</w:t>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端子号及其名称</w:t>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A</w:t>
            </w:r>
            <w:r>
              <w:rPr>
                <w:rFonts w:ascii="宋体" w:hAnsi="宋体" w:eastAsia="宋体"/>
                <w:sz w:val="18"/>
                <w:szCs w:val="18"/>
              </w:rPr>
              <w:t>相电流端子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9</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C</w:t>
            </w:r>
            <w:r>
              <w:rPr>
                <w:rFonts w:ascii="宋体" w:hAnsi="宋体" w:eastAsia="宋体"/>
                <w:sz w:val="18"/>
                <w:szCs w:val="18"/>
              </w:rPr>
              <w:t>相电流端子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19</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有功校表高</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27</w:t>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485 A2</w:t>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A</w:t>
            </w:r>
            <w:r>
              <w:rPr>
                <w:rFonts w:ascii="宋体" w:hAnsi="宋体" w:eastAsia="宋体"/>
                <w:sz w:val="18"/>
                <w:szCs w:val="18"/>
              </w:rPr>
              <w:t>相电压端子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10</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电压中性端子</w:t>
            </w:r>
            <w:r>
              <w:rPr>
                <w:rFonts w:ascii="Times New Roman" w:hAnsi="Times New Roman" w:eastAsia="Times New Roman"/>
                <w:sz w:val="18"/>
                <w:szCs w:val="18"/>
              </w:rPr>
              <w:t>/</w:t>
            </w:r>
            <w:r>
              <w:rPr>
                <w:rFonts w:ascii="宋体" w:hAnsi="宋体" w:eastAsia="宋体"/>
                <w:sz w:val="18"/>
                <w:szCs w:val="18"/>
              </w:rPr>
              <w:t>备用端子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20</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无功校表高</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28</w:t>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485 B2</w:t>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3</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A</w:t>
            </w:r>
            <w:r>
              <w:rPr>
                <w:rFonts w:ascii="宋体" w:hAnsi="宋体" w:eastAsia="宋体"/>
                <w:sz w:val="18"/>
                <w:szCs w:val="18"/>
              </w:rPr>
              <w:t>相电流端子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13</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跳闸端子</w:t>
            </w:r>
            <w:r>
              <w:rPr>
                <w:rFonts w:ascii="Times New Roman" w:hAnsi="Times New Roman" w:eastAsia="Times New Roman"/>
                <w:sz w:val="18"/>
                <w:szCs w:val="18"/>
              </w:rPr>
              <w:t>-</w:t>
            </w:r>
            <w:r>
              <w:rPr>
                <w:rFonts w:ascii="宋体" w:hAnsi="宋体" w:eastAsia="宋体"/>
                <w:sz w:val="18"/>
                <w:szCs w:val="18"/>
              </w:rPr>
              <w:t>常开</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21</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公共地</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4</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B</w:t>
            </w:r>
            <w:r>
              <w:rPr>
                <w:rFonts w:ascii="宋体" w:hAnsi="宋体" w:eastAsia="宋体"/>
                <w:sz w:val="18"/>
                <w:szCs w:val="18"/>
              </w:rPr>
              <w:t>相电流端子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14</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跳闸端子</w:t>
            </w:r>
            <w:r>
              <w:rPr>
                <w:rFonts w:ascii="Times New Roman" w:hAnsi="Times New Roman" w:eastAsia="Times New Roman"/>
                <w:sz w:val="18"/>
                <w:szCs w:val="18"/>
              </w:rPr>
              <w:t>-</w:t>
            </w:r>
            <w:r>
              <w:rPr>
                <w:rFonts w:ascii="宋体" w:hAnsi="宋体" w:eastAsia="宋体"/>
                <w:sz w:val="18"/>
                <w:szCs w:val="18"/>
              </w:rPr>
              <w:t>公共</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22</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多功能口高</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5</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B</w:t>
            </w:r>
            <w:r>
              <w:rPr>
                <w:rFonts w:ascii="宋体" w:hAnsi="宋体" w:eastAsia="宋体"/>
                <w:sz w:val="18"/>
                <w:szCs w:val="18"/>
              </w:rPr>
              <w:t>相电压端子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15</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跳闸端子</w:t>
            </w:r>
            <w:r>
              <w:rPr>
                <w:rFonts w:ascii="Times New Roman" w:hAnsi="Times New Roman" w:eastAsia="Times New Roman"/>
                <w:sz w:val="18"/>
                <w:szCs w:val="18"/>
              </w:rPr>
              <w:t>-</w:t>
            </w:r>
            <w:r>
              <w:rPr>
                <w:rFonts w:ascii="宋体" w:hAnsi="宋体" w:eastAsia="宋体"/>
                <w:sz w:val="18"/>
                <w:szCs w:val="18"/>
              </w:rPr>
              <w:t>常闭</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23</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多功能口低</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6</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B</w:t>
            </w:r>
            <w:r>
              <w:rPr>
                <w:rFonts w:ascii="宋体" w:hAnsi="宋体" w:eastAsia="宋体"/>
                <w:sz w:val="18"/>
                <w:szCs w:val="18"/>
              </w:rPr>
              <w:t>相电流端子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16</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报警端子</w:t>
            </w:r>
            <w:r>
              <w:rPr>
                <w:rFonts w:ascii="Times New Roman" w:hAnsi="Times New Roman" w:eastAsia="Times New Roman"/>
                <w:sz w:val="18"/>
                <w:szCs w:val="18"/>
              </w:rPr>
              <w:t>-</w:t>
            </w:r>
            <w:r>
              <w:rPr>
                <w:rFonts w:ascii="宋体" w:hAnsi="宋体" w:eastAsia="宋体"/>
                <w:sz w:val="18"/>
                <w:szCs w:val="18"/>
              </w:rPr>
              <w:t>常开</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24</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485 A1</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7</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C</w:t>
            </w:r>
            <w:r>
              <w:rPr>
                <w:rFonts w:ascii="宋体" w:hAnsi="宋体" w:eastAsia="宋体"/>
                <w:sz w:val="18"/>
                <w:szCs w:val="18"/>
              </w:rPr>
              <w:t>相电流端子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17</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报警端子</w:t>
            </w:r>
            <w:r>
              <w:rPr>
                <w:rFonts w:ascii="Times New Roman" w:hAnsi="Times New Roman" w:eastAsia="Times New Roman"/>
                <w:sz w:val="18"/>
                <w:szCs w:val="18"/>
              </w:rPr>
              <w:t>-</w:t>
            </w:r>
            <w:r>
              <w:rPr>
                <w:rFonts w:ascii="宋体" w:hAnsi="宋体" w:eastAsia="宋体"/>
                <w:sz w:val="18"/>
                <w:szCs w:val="18"/>
              </w:rPr>
              <w:t>公共</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25</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485 B1</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r>
      <w:tr>
        <w:trPr>
          <w:trHeight w:val="285" w:hRule="atLeast"/>
        </w:trPr>
        <w:tc>
          <w:tcPr>
            <w:tcW w:w="46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8</w:t>
            </w:r>
          </w:p>
        </w:tc>
        <w:tc>
          <w:tcPr>
            <w:tcW w:w="150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C</w:t>
            </w:r>
            <w:r>
              <w:rPr>
                <w:rFonts w:ascii="宋体" w:hAnsi="宋体" w:eastAsia="宋体"/>
                <w:sz w:val="18"/>
                <w:szCs w:val="18"/>
              </w:rPr>
              <w:t>相电压端子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18</w:t>
            </w:r>
          </w:p>
        </w:tc>
        <w:tc>
          <w:tcPr>
            <w:tcW w:w="162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备用端子</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26</w:t>
            </w:r>
          </w:p>
        </w:tc>
        <w:tc>
          <w:tcPr>
            <w:tcW w:w="1590"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Times New Roman" w:hAnsi="Times New Roman" w:eastAsia="Times New Roman"/>
                <w:sz w:val="18"/>
                <w:szCs w:val="18"/>
              </w:rPr>
              <w:t xml:space="preserve">485 </w:t>
            </w:r>
            <w:r>
              <w:rPr>
                <w:rFonts w:ascii="宋体" w:hAnsi="宋体" w:eastAsia="宋体"/>
                <w:sz w:val="18"/>
                <w:szCs w:val="18"/>
              </w:rPr>
              <w:t>公共地</w:t>
            </w:r>
          </w:p>
        </w:tc>
        <w:tc>
          <w:tcPr>
            <w:tcW w:w="55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c>
          <w:tcPr>
            <w:tcW w:w="1125" w:type="dxa"/>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ind/>
              <w:jc w:val="both"/>
              <w:rPr>
                <w:rFonts w:ascii="微软雅黑" w:hAnsi="微软雅黑" w:eastAsia="微软雅黑"/>
                <w:sz w:val="24"/>
                <w:szCs w:val="24"/>
              </w:rPr>
            </w:pPr>
            <w:r>
              <w:rPr>
                <w:rFonts w:ascii="宋体" w:hAnsi="宋体" w:eastAsia="宋体"/>
                <w:sz w:val="18"/>
                <w:szCs w:val="18"/>
              </w:rPr>
            </w:r>
          </w:p>
        </w:tc>
      </w:tr>
      <w:tr>
        <w:trPr>
          <w:trHeight w:val="285" w:hRule="atLeast"/>
        </w:trPr>
        <w:tc>
          <w:tcPr>
            <w:tcW w:w="6840" w:type="dxa"/>
            <w:gridSpan w:val="8"/>
            <w:tcBorders>
              <w:top w:val="single" w:color="000000" w:sz="8" w:space="0"/>
              <w:left w:val="single" w:color="000000" w:sz="8" w:space="0"/>
              <w:bottom w:val="single" w:color="000000" w:sz="8" w:space="0"/>
              <w:right w:val="single" w:color="000000" w:sz="8" w:space="0"/>
            </w:tcBorders>
            <w:shd w:val="clear" w:color="auto" w:fill="transparent"/>
            <w:vAlign w:val="top"/>
          </w:tcPr>
          <w:p>
            <w:pPr>
              <w:spacing w:before="31" w:after="31"/>
              <w:ind/>
              <w:jc w:val="both"/>
              <w:rPr>
                <w:rFonts w:ascii="宋体" w:hAnsi="宋体" w:eastAsia="宋体"/>
                <w:sz w:val="18"/>
                <w:szCs w:val="18"/>
              </w:rPr>
            </w:pPr>
            <w:r>
              <w:rPr>
                <w:rFonts w:ascii="宋体" w:hAnsi="宋体" w:eastAsia="宋体"/>
                <w:sz w:val="18"/>
                <w:szCs w:val="18"/>
              </w:rPr>
              <w:t>注：对于三相四线方式，</w:t>
            </w:r>
            <w:r>
              <w:rPr>
                <w:rFonts w:ascii="Times New Roman" w:hAnsi="Times New Roman" w:eastAsia="Times New Roman"/>
                <w:sz w:val="18"/>
                <w:szCs w:val="18"/>
              </w:rPr>
              <w:t>10</w:t>
            </w:r>
            <w:r>
              <w:rPr>
                <w:rFonts w:ascii="宋体" w:hAnsi="宋体" w:eastAsia="宋体"/>
                <w:sz w:val="18"/>
                <w:szCs w:val="18"/>
              </w:rPr>
              <w:t>号端子为电压零线端子；对于三相三线方式，</w:t>
            </w:r>
            <w:r>
              <w:rPr>
                <w:rFonts w:ascii="Times New Roman" w:hAnsi="Times New Roman" w:eastAsia="Times New Roman"/>
                <w:sz w:val="18"/>
                <w:szCs w:val="18"/>
              </w:rPr>
              <w:t>10</w:t>
            </w:r>
            <w:r>
              <w:rPr>
                <w:rFonts w:ascii="宋体" w:hAnsi="宋体" w:eastAsia="宋体"/>
                <w:sz w:val="18"/>
                <w:szCs w:val="18"/>
              </w:rPr>
              <w:t>号端子为备用端子。</w:t>
            </w:r>
          </w:p>
        </w:tc>
      </w:tr>
    </w:tbl>
    <w:p>
      <w:pPr>
        <w:numPr>
          <w:ilvl w:val="2"/>
          <w:numId w:val="37"/>
        </w:numPr>
        <w:spacing w:before="156" w:after="156"/>
        <w:ind w:firstLine="0"/>
        <w:jc w:val="both"/>
        <w:rPr>
          <w:rFonts w:ascii="黑体" w:hAnsi="黑体" w:eastAsia="黑体"/>
          <w:sz w:val="21"/>
          <w:szCs w:val="21"/>
        </w:rPr>
      </w:pPr>
      <w:r>
        <w:rPr>
          <w:rFonts w:hint="eastAsia"/>
        </w:rPr>
      </w:r>
      <w:r>
        <w:rPr>
          <w:rFonts w:ascii="黑体" w:hAnsi="黑体" w:eastAsia="黑体"/>
          <w:sz w:val="21"/>
          <w:szCs w:val="21"/>
        </w:rPr>
        <w:t>脉冲输出端口示意图</w:t>
      </w:r>
    </w:p>
    <w:p>
      <w:pPr>
        <w:spacing w:before="37" w:after="187"/>
        <w:ind/>
        <w:jc w:val="center"/>
        <w:rPr>
          <w:rFonts w:ascii="宋体" w:hAnsi="宋体" w:eastAsia="宋体"/>
          <w:sz w:val="21"/>
          <w:szCs w:val="21"/>
        </w:rPr>
      </w:pPr>
      <w:r>
        <w:rPr>
          <w:rFonts w:ascii="微软雅黑" w:hAnsi="微软雅黑" w:eastAsia="微软雅黑"/>
          <w:sz w:val="21"/>
          <w:szCs w:val="21"/>
        </w:rPr>
        <w:drawing>
          <wp:inline distT="0" distB="0" distL="0" distR="0">
            <wp:extent cx="2152650" cy="1371600"/>
            <wp:effectExtent l="0" t="0" r="0" b="0"/>
            <wp:docPr id="17" name="" descr=""/>
            <wp:cNvGraphicFramePr>
              <a:graphicFrameLocks noChangeAspect="true"/>
            </wp:cNvGraphicFramePr>
            <a:graphic>
              <a:graphicData uri="http://schemas.openxmlformats.org/drawingml/2006/picture">
                <pic:pic>
                  <pic:nvPicPr>
                    <pic:cNvPr id="17" name=""/>
                    <pic:cNvPicPr/>
                  </pic:nvPicPr>
                  <pic:blipFill>
                    <a:blip r:embed="rId51"/>
                    <a:stretch>
                      <a:fillRect/>
                    </a:stretch>
                  </pic:blipFill>
                  <pic:spPr>
                    <a:xfrm>
                      <a:off x="0" y="0"/>
                      <a:ext cx="2152650" cy="1371600"/>
                    </a:xfrm>
                    <a:prstGeom prst="rect">
                      <a:avLst/>
                    </a:prstGeom>
                  </pic:spPr>
                </pic:pic>
              </a:graphicData>
            </a:graphic>
          </wp:inline>
        </w:drawing>
      </w:r>
    </w:p>
    <w:p>
      <w:pPr>
        <w:spacing w:before="156" w:after="156"/>
        <w:ind/>
        <w:jc w:val="center"/>
        <w:rPr>
          <w:rFonts w:ascii="宋体" w:hAnsi="宋体" w:eastAsia="宋体"/>
          <w:sz w:val="24"/>
          <w:szCs w:val="24"/>
        </w:rPr>
      </w:pPr>
      <w:r>
        <w:rPr>
          <w:rFonts w:ascii="黑体" w:hAnsi="黑体" w:eastAsia="黑体"/>
          <w:sz w:val="24"/>
          <w:szCs w:val="24"/>
        </w:rPr>
        <w:t xml:space="preserve">图 </w:t>
      </w:r>
      <w:r>
        <w:rPr>
          <w:rFonts w:ascii="黑体" w:hAnsi="黑体" w:eastAsia="黑体"/>
          <w:sz w:val="24"/>
          <w:szCs w:val="24"/>
        </w:rPr>
      </w:r>
      <w:r>
        <w:rPr>
          <w:rFonts w:ascii="黑体" w:hAnsi="黑体" w:eastAsia="黑体"/>
          <w:sz w:val="24"/>
          <w:szCs w:val="24"/>
        </w:rPr>
      </w:r>
      <w:r>
        <w:rPr>
          <w:rFonts w:ascii="黑体" w:hAnsi="黑体" w:eastAsia="黑体"/>
          <w:sz w:val="24"/>
          <w:szCs w:val="24"/>
        </w:rPr>
        <w:t>7</w:t>
      </w:r>
      <w:r>
        <w:rPr>
          <w:rFonts w:ascii="黑体" w:hAnsi="黑体" w:eastAsia="黑体"/>
          <w:sz w:val="24"/>
          <w:szCs w:val="24"/>
        </w:rPr>
      </w:r>
      <w:r>
        <w:rPr>
          <w:rFonts w:ascii="黑体" w:hAnsi="黑体" w:eastAsia="黑体"/>
          <w:sz w:val="24"/>
          <w:szCs w:val="24"/>
        </w:rPr>
        <w:t>.</w:t>
      </w:r>
      <w:r>
        <w:rPr>
          <w:rFonts w:ascii="黑体" w:hAnsi="黑体" w:eastAsia="黑体"/>
          <w:sz w:val="24"/>
          <w:szCs w:val="24"/>
        </w:rPr>
      </w:r>
      <w:r>
        <w:rPr>
          <w:rFonts w:ascii="黑体" w:hAnsi="黑体" w:eastAsia="黑体"/>
          <w:sz w:val="24"/>
          <w:szCs w:val="24"/>
        </w:rPr>
      </w:r>
      <w:r>
        <w:rPr>
          <w:rFonts w:ascii="黑体" w:hAnsi="黑体" w:eastAsia="黑体"/>
          <w:sz w:val="24"/>
          <w:szCs w:val="24"/>
        </w:rPr>
        <w:t>4</w:t>
      </w:r>
      <w:r>
        <w:rPr>
          <w:rFonts w:ascii="黑体" w:hAnsi="黑体" w:eastAsia="黑体"/>
          <w:sz w:val="24"/>
          <w:szCs w:val="24"/>
        </w:rPr>
      </w:r>
      <w:r>
        <w:rPr>
          <w:rFonts w:ascii="黑体" w:hAnsi="黑体" w:eastAsia="黑体"/>
          <w:sz w:val="24"/>
          <w:szCs w:val="24"/>
        </w:rPr>
        <w:t>脉冲输出端口示意图</w:t>
      </w:r>
    </w:p>
    <w:p>
      <w:pPr>
        <w:spacing w:after="93"/>
        <w:ind w:firstLine="420"/>
        <w:jc w:val="both"/>
        <w:rPr>
          <w:rFonts w:ascii="宋体" w:hAnsi="宋体" w:eastAsia="宋体"/>
          <w:sz w:val="21"/>
          <w:szCs w:val="21"/>
        </w:rPr>
      </w:pPr>
      <w:r>
        <w:rPr>
          <w:rFonts w:ascii="宋体" w:hAnsi="宋体" w:eastAsia="宋体"/>
          <w:sz w:val="21"/>
          <w:szCs w:val="21"/>
        </w:rPr>
        <w:t>电能表电能量脉冲输出宽度为：</w:t>
      </w:r>
      <w:r>
        <w:rPr>
          <w:rFonts w:ascii="Times New Roman" w:hAnsi="Times New Roman" w:eastAsia="Times New Roman"/>
          <w:sz w:val="21"/>
          <w:szCs w:val="21"/>
        </w:rPr>
        <w:t>80</w:t>
      </w:r>
      <w:r>
        <w:rPr>
          <w:rFonts w:ascii="宋体" w:hAnsi="宋体" w:eastAsia="宋体"/>
          <w:sz w:val="21"/>
          <w:szCs w:val="21"/>
        </w:rPr>
        <w:t>±</w:t>
      </w:r>
      <w:r>
        <w:rPr>
          <w:rFonts w:ascii="Times New Roman" w:hAnsi="Times New Roman" w:eastAsia="Times New Roman"/>
          <w:sz w:val="21"/>
          <w:szCs w:val="21"/>
        </w:rPr>
        <w:t>16ms</w:t>
      </w:r>
      <w:r>
        <w:rPr>
          <w:rFonts w:ascii="宋体" w:hAnsi="宋体" w:eastAsia="宋体"/>
          <w:sz w:val="21"/>
          <w:szCs w:val="21"/>
        </w:rPr>
        <w:t>。电脉冲输出在有脉冲输出时，通过</w:t>
      </w:r>
      <w:r>
        <w:rPr>
          <w:rFonts w:ascii="Times New Roman" w:hAnsi="Times New Roman" w:eastAsia="Times New Roman"/>
          <w:sz w:val="21"/>
          <w:szCs w:val="21"/>
        </w:rPr>
        <w:t>5mA</w:t>
      </w:r>
      <w:r>
        <w:rPr>
          <w:rFonts w:ascii="宋体" w:hAnsi="宋体" w:eastAsia="宋体"/>
          <w:sz w:val="21"/>
          <w:szCs w:val="21"/>
        </w:rPr>
        <w:t>电流时脉冲输出口的压降不得高于</w:t>
      </w:r>
      <w:r>
        <w:rPr>
          <w:rFonts w:ascii="Times New Roman" w:hAnsi="Times New Roman" w:eastAsia="Times New Roman"/>
          <w:sz w:val="21"/>
          <w:szCs w:val="21"/>
        </w:rPr>
        <w:t>0.8V</w:t>
      </w:r>
      <w:r>
        <w:rPr>
          <w:rFonts w:ascii="宋体" w:hAnsi="宋体" w:eastAsia="宋体"/>
          <w:sz w:val="21"/>
          <w:szCs w:val="21"/>
        </w:rPr>
        <w:t>；在没有脉冲输出时，脉冲输出口直流阻抗应不小于</w:t>
      </w:r>
      <w:r>
        <w:rPr>
          <w:rFonts w:ascii="Times New Roman" w:hAnsi="Times New Roman" w:eastAsia="Times New Roman"/>
          <w:sz w:val="21"/>
          <w:szCs w:val="21"/>
        </w:rPr>
        <w:t>100k</w:t>
      </w:r>
      <w:r>
        <w:rPr>
          <w:rFonts w:ascii="宋体" w:hAnsi="宋体" w:eastAsia="宋体"/>
          <w:sz w:val="21"/>
          <w:szCs w:val="21"/>
        </w:rPr>
        <w:t>Ω。</w:t>
      </w:r>
    </w:p>
    <w:p>
      <w:pPr>
        <w:numPr>
          <w:ilvl w:val="2"/>
          <w:numId w:val="37"/>
        </w:numPr>
        <w:spacing w:before="156" w:after="156"/>
        <w:ind w:firstLine="0"/>
        <w:jc w:val="both"/>
        <w:rPr>
          <w:rFonts w:ascii="黑体" w:hAnsi="黑体" w:eastAsia="黑体"/>
          <w:sz w:val="21"/>
          <w:szCs w:val="21"/>
        </w:rPr>
      </w:pPr>
      <w:r>
        <w:rPr>
          <w:rFonts w:hint="eastAsia"/>
        </w:rPr>
      </w:r>
      <w:r>
        <w:rPr>
          <w:rFonts w:ascii="黑体" w:hAnsi="黑体" w:eastAsia="黑体"/>
          <w:sz w:val="21"/>
          <w:szCs w:val="21"/>
        </w:rPr>
        <w:t>RS-485口接法及说明</w:t>
      </w:r>
    </w:p>
    <w:p>
      <w:pPr>
        <w:spacing w:after="93"/>
        <w:ind w:firstLine="420"/>
        <w:jc w:val="both"/>
        <w:rPr>
          <w:rFonts w:ascii="宋体" w:hAnsi="宋体" w:eastAsia="宋体"/>
          <w:sz w:val="21"/>
          <w:szCs w:val="21"/>
        </w:rPr>
      </w:pPr>
      <w:r>
        <w:rPr>
          <w:rFonts w:ascii="Times New Roman" w:hAnsi="Times New Roman" w:eastAsia="Times New Roman"/>
          <w:sz w:val="21"/>
          <w:szCs w:val="21"/>
        </w:rPr>
        <w:t>RS-485</w:t>
      </w:r>
      <w:r>
        <w:rPr>
          <w:rFonts w:ascii="宋体" w:hAnsi="宋体" w:eastAsia="宋体"/>
          <w:sz w:val="21"/>
          <w:szCs w:val="21"/>
        </w:rPr>
        <w:t>通信线建议采用</w:t>
      </w:r>
      <w:r>
        <w:rPr>
          <w:rFonts w:ascii="Times New Roman" w:hAnsi="Times New Roman" w:eastAsia="Times New Roman"/>
          <w:sz w:val="21"/>
          <w:szCs w:val="21"/>
        </w:rPr>
        <w:t>2</w:t>
      </w:r>
      <w:r>
        <w:rPr>
          <w:rFonts w:ascii="宋体" w:hAnsi="宋体" w:eastAsia="宋体"/>
          <w:sz w:val="21"/>
          <w:szCs w:val="21"/>
        </w:rPr>
        <w:t>芯屏蔽通信线，线径不小于Φ</w:t>
      </w:r>
      <w:r>
        <w:rPr>
          <w:rFonts w:ascii="Times New Roman" w:hAnsi="Times New Roman" w:eastAsia="Times New Roman"/>
          <w:sz w:val="21"/>
          <w:szCs w:val="21"/>
        </w:rPr>
        <w:t>0.5mm</w:t>
      </w:r>
      <w:r>
        <w:rPr>
          <w:rFonts w:ascii="宋体" w:hAnsi="宋体" w:eastAsia="宋体"/>
          <w:sz w:val="21"/>
          <w:szCs w:val="21"/>
        </w:rPr>
        <w:t>，最大接入线径为Φ</w:t>
      </w:r>
      <w:r>
        <w:rPr>
          <w:rFonts w:ascii="Times New Roman" w:hAnsi="Times New Roman" w:eastAsia="Times New Roman"/>
          <w:sz w:val="21"/>
          <w:szCs w:val="21"/>
        </w:rPr>
        <w:t>2.0mm</w:t>
      </w:r>
      <w:r>
        <w:rPr>
          <w:rFonts w:ascii="宋体" w:hAnsi="宋体" w:eastAsia="宋体"/>
          <w:sz w:val="21"/>
          <w:szCs w:val="21"/>
        </w:rPr>
        <w:t>（尽量使用较粗的屏蔽通信）。电表的</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A</w:t>
      </w:r>
      <w:r>
        <w:rPr>
          <w:rFonts w:ascii="宋体" w:hAnsi="宋体" w:eastAsia="宋体"/>
          <w:sz w:val="21"/>
          <w:szCs w:val="21"/>
        </w:rPr>
        <w:t>端（即：</w:t>
      </w:r>
      <w:r>
        <w:rPr>
          <w:rFonts w:ascii="Times New Roman" w:hAnsi="Times New Roman" w:eastAsia="Times New Roman"/>
          <w:sz w:val="21"/>
          <w:szCs w:val="21"/>
        </w:rPr>
        <w:t>RS-485</w:t>
      </w:r>
      <w:r>
        <w:rPr>
          <w:rFonts w:ascii="宋体" w:hAnsi="宋体" w:eastAsia="宋体"/>
          <w:sz w:val="21"/>
          <w:szCs w:val="21"/>
        </w:rPr>
        <w:t>的“＋”极）与采集器或者终端</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A</w:t>
      </w:r>
      <w:r>
        <w:rPr>
          <w:rFonts w:ascii="宋体" w:hAnsi="宋体" w:eastAsia="宋体"/>
          <w:sz w:val="21"/>
          <w:szCs w:val="21"/>
        </w:rPr>
        <w:t>端（或</w:t>
      </w:r>
      <w:r>
        <w:rPr>
          <w:rFonts w:ascii="Times New Roman" w:hAnsi="Times New Roman" w:eastAsia="Times New Roman"/>
          <w:sz w:val="21"/>
          <w:szCs w:val="21"/>
        </w:rPr>
        <w:t>A</w:t>
      </w:r>
      <w:r>
        <w:rPr>
          <w:rFonts w:ascii="宋体" w:hAnsi="宋体" w:eastAsia="宋体"/>
          <w:sz w:val="21"/>
          <w:szCs w:val="21"/>
        </w:rPr>
        <w:t>＋端）相连，电表</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B</w:t>
      </w:r>
      <w:r>
        <w:rPr>
          <w:rFonts w:ascii="宋体" w:hAnsi="宋体" w:eastAsia="宋体"/>
          <w:sz w:val="21"/>
          <w:szCs w:val="21"/>
        </w:rPr>
        <w:t>端（即：</w:t>
      </w:r>
      <w:r>
        <w:rPr>
          <w:rFonts w:ascii="Times New Roman" w:hAnsi="Times New Roman" w:eastAsia="Times New Roman"/>
          <w:sz w:val="21"/>
          <w:szCs w:val="21"/>
        </w:rPr>
        <w:t>RS-485</w:t>
      </w:r>
      <w:r>
        <w:rPr>
          <w:rFonts w:ascii="宋体" w:hAnsi="宋体" w:eastAsia="宋体"/>
          <w:sz w:val="21"/>
          <w:szCs w:val="21"/>
        </w:rPr>
        <w:t>的“－”极）与采集器或者终端</w:t>
      </w:r>
      <w:r>
        <w:rPr>
          <w:rFonts w:ascii="Times New Roman" w:hAnsi="Times New Roman" w:eastAsia="Times New Roman"/>
          <w:sz w:val="21"/>
          <w:szCs w:val="21"/>
        </w:rPr>
        <w:t>RS-485</w:t>
      </w:r>
      <w:r>
        <w:rPr>
          <w:rFonts w:ascii="宋体" w:hAnsi="宋体" w:eastAsia="宋体"/>
          <w:sz w:val="21"/>
          <w:szCs w:val="21"/>
        </w:rPr>
        <w:t>接口的</w:t>
      </w:r>
      <w:r>
        <w:rPr>
          <w:rFonts w:ascii="Times New Roman" w:hAnsi="Times New Roman" w:eastAsia="Times New Roman"/>
          <w:sz w:val="21"/>
          <w:szCs w:val="21"/>
        </w:rPr>
        <w:t>B</w:t>
      </w:r>
      <w:r>
        <w:rPr>
          <w:rFonts w:ascii="宋体" w:hAnsi="宋体" w:eastAsia="宋体"/>
          <w:sz w:val="21"/>
          <w:szCs w:val="21"/>
        </w:rPr>
        <w:t>端（或</w:t>
      </w:r>
      <w:r>
        <w:rPr>
          <w:rFonts w:ascii="Times New Roman" w:hAnsi="Times New Roman" w:eastAsia="Times New Roman"/>
          <w:sz w:val="21"/>
          <w:szCs w:val="21"/>
        </w:rPr>
        <w:t>A</w:t>
      </w:r>
      <w:r>
        <w:rPr>
          <w:rFonts w:ascii="宋体" w:hAnsi="宋体" w:eastAsia="宋体"/>
          <w:sz w:val="21"/>
          <w:szCs w:val="21"/>
        </w:rPr>
        <w:t>－端）相连，屏蔽层必须一端接地。</w:t>
      </w:r>
    </w:p>
    <w:p>
      <w:pPr>
        <w:spacing w:before="37" w:after="187"/>
        <w:ind/>
        <w:jc w:val="center"/>
        <w:rPr>
          <w:rFonts w:ascii="宋体" w:hAnsi="宋体" w:eastAsia="宋体"/>
          <w:sz w:val="21"/>
          <w:szCs w:val="21"/>
        </w:rPr>
      </w:pPr>
      <w:r>
        <w:rPr>
          <w:rFonts w:ascii="Times New Roman" w:hAnsi="Times New Roman" w:eastAsia="Times New Roman"/>
          <w:sz w:val="21"/>
          <w:szCs w:val="21"/>
        </w:rPr>
        <w:t xml:space="preserve"> </w:t>
      </w:r>
    </w:p>
    <w:p>
      <w:pPr>
        <w:spacing w:before="156" w:after="156"/>
        <w:ind/>
        <w:jc w:val="center"/>
        <w:rPr>
          <w:rFonts w:ascii="宋体" w:hAnsi="宋体" w:eastAsia="宋体"/>
          <w:sz w:val="21"/>
          <w:szCs w:val="21"/>
        </w:rPr>
      </w:pPr>
      <w:r>
        <w:rPr>
          <w:rFonts w:ascii="黑体" w:hAnsi="黑体" w:eastAsia="黑体"/>
          <w:sz w:val="21"/>
          <w:szCs w:val="21"/>
        </w:rPr>
        <w:t xml:space="preserve">图 </w:t>
      </w:r>
      <w:r>
        <w:rPr>
          <w:rFonts w:ascii="黑体" w:hAnsi="黑体" w:eastAsia="黑体"/>
          <w:sz w:val="21"/>
          <w:szCs w:val="21"/>
        </w:rPr>
      </w:r>
      <w:r>
        <w:rPr>
          <w:rFonts w:ascii="黑体" w:hAnsi="黑体" w:eastAsia="黑体"/>
          <w:sz w:val="21"/>
          <w:szCs w:val="21"/>
        </w:rPr>
      </w:r>
      <w:r>
        <w:rPr>
          <w:rFonts w:ascii="黑体" w:hAnsi="黑体" w:eastAsia="黑体"/>
          <w:sz w:val="21"/>
          <w:szCs w:val="21"/>
        </w:rPr>
        <w:t>7</w:t>
      </w:r>
      <w:r>
        <w:rPr>
          <w:rFonts w:ascii="黑体" w:hAnsi="黑体" w:eastAsia="黑体"/>
          <w:sz w:val="21"/>
          <w:szCs w:val="21"/>
        </w:rPr>
      </w:r>
      <w:r>
        <w:rPr>
          <w:rFonts w:ascii="黑体" w:hAnsi="黑体" w:eastAsia="黑体"/>
          <w:sz w:val="21"/>
          <w:szCs w:val="21"/>
        </w:rPr>
        <w:t>.</w:t>
      </w:r>
      <w:r>
        <w:rPr>
          <w:rFonts w:ascii="黑体" w:hAnsi="黑体" w:eastAsia="黑体"/>
          <w:sz w:val="21"/>
          <w:szCs w:val="21"/>
        </w:rPr>
      </w:r>
      <w:r>
        <w:rPr>
          <w:rFonts w:ascii="黑体" w:hAnsi="黑体" w:eastAsia="黑体"/>
          <w:sz w:val="21"/>
          <w:szCs w:val="21"/>
        </w:rPr>
      </w:r>
      <w:r>
        <w:rPr>
          <w:rFonts w:ascii="黑体" w:hAnsi="黑体" w:eastAsia="黑体"/>
          <w:sz w:val="21"/>
          <w:szCs w:val="21"/>
        </w:rPr>
        <w:t>5</w:t>
      </w:r>
      <w:r>
        <w:rPr>
          <w:rFonts w:ascii="黑体" w:hAnsi="黑体" w:eastAsia="黑体"/>
          <w:sz w:val="21"/>
          <w:szCs w:val="21"/>
        </w:rPr>
      </w:r>
      <w:r>
        <w:rPr>
          <w:rFonts w:ascii="黑体" w:hAnsi="黑体" w:eastAsia="黑体"/>
          <w:sz w:val="21"/>
          <w:szCs w:val="21"/>
        </w:rPr>
        <w:t xml:space="preserve"> 485电表连接线</w:t>
      </w:r>
    </w:p>
    <w:p>
      <w:pPr>
        <w:pStyle w:val="heading1"/>
        <w:numPr>
          <w:ilvl w:val="0"/>
          <w:numId w:val="37"/>
        </w:numPr>
        <w:snapToGrid w:val="true"/>
        <w:spacing w:before="312" w:after="312"/>
        <w:ind w:firstLine="0"/>
        <w:jc w:val="both"/>
        <w:rPr>
          <w:rFonts w:ascii="宋体" w:hAnsi="宋体" w:eastAsia="宋体"/>
        </w:rPr>
      </w:pPr>
      <w:r>
        <w:rPr>
          <w:rFonts w:hint="eastAsia"/>
        </w:rPr>
      </w:r>
      <w:r>
        <w:rPr>
          <w:rFonts w:ascii="黑体" w:hAnsi="黑体" w:eastAsia="黑体"/>
        </w:rPr>
        <w:t>安装环境要求</w:t>
      </w:r>
    </w:p>
    <w:p>
      <w:pPr>
        <w:spacing w:after="93"/>
        <w:ind w:firstLine="420"/>
        <w:jc w:val="both"/>
        <w:rPr>
          <w:rFonts w:ascii="宋体" w:hAnsi="宋体" w:eastAsia="宋体"/>
          <w:sz w:val="21"/>
          <w:szCs w:val="21"/>
        </w:rPr>
      </w:pPr>
      <w:r>
        <w:rPr>
          <w:rFonts w:ascii="宋体" w:hAnsi="宋体" w:eastAsia="宋体"/>
          <w:sz w:val="21"/>
          <w:szCs w:val="21"/>
        </w:rPr>
        <w:t>为保证集抄系统正常运行，避免因环境条件恶劣造成人身和设备伤害。对电表安装和运行环境的选择，应注意以下几个方面。</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避免靠近易燃易爆环境</w:t>
      </w:r>
    </w:p>
    <w:p>
      <w:pPr>
        <w:spacing w:after="93"/>
        <w:ind w:firstLine="420"/>
        <w:jc w:val="both"/>
        <w:rPr>
          <w:rFonts w:ascii="宋体" w:hAnsi="宋体" w:eastAsia="宋体"/>
          <w:sz w:val="21"/>
          <w:szCs w:val="21"/>
        </w:rPr>
      </w:pPr>
      <w:r>
        <w:rPr>
          <w:rFonts w:ascii="宋体" w:hAnsi="宋体" w:eastAsia="宋体"/>
          <w:sz w:val="21"/>
          <w:szCs w:val="21"/>
        </w:rPr>
        <w:t>安装时应注意远离有易燃易爆物体的环境。如天然气、煤气设备，可能产生沼气的沟井，可燃性或易燃性的粉尘等环境。</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避免高温高湿环境</w:t>
      </w:r>
    </w:p>
    <w:p>
      <w:pPr>
        <w:spacing w:after="93"/>
        <w:ind w:firstLine="420"/>
        <w:jc w:val="both"/>
        <w:rPr>
          <w:rFonts w:ascii="宋体" w:hAnsi="宋体" w:eastAsia="宋体"/>
          <w:sz w:val="21"/>
          <w:szCs w:val="21"/>
        </w:rPr>
      </w:pPr>
      <w:r>
        <w:rPr>
          <w:rFonts w:ascii="宋体" w:hAnsi="宋体" w:eastAsia="宋体"/>
          <w:sz w:val="21"/>
          <w:szCs w:val="21"/>
        </w:rPr>
        <w:t>电表安装时，需要考虑运行环境的温度和湿度范围。长期在高温条件下运行，将大幅度缩短设备的使用寿命。因此电表应避免安装在阳光直射且密闭的箱体中以及其他热源附近。</w:t>
      </w:r>
    </w:p>
    <w:p>
      <w:pPr>
        <w:spacing w:after="93"/>
        <w:ind w:firstLine="420"/>
        <w:jc w:val="both"/>
        <w:rPr>
          <w:rFonts w:ascii="宋体" w:hAnsi="宋体" w:eastAsia="宋体"/>
          <w:sz w:val="21"/>
          <w:szCs w:val="21"/>
        </w:rPr>
      </w:pPr>
      <w:r>
        <w:rPr>
          <w:rFonts w:ascii="宋体" w:hAnsi="宋体" w:eastAsia="宋体"/>
          <w:sz w:val="21"/>
          <w:szCs w:val="21"/>
        </w:rPr>
        <w:t>另外，较高的湿度环境会造成设备内部绝缘度降低，造成意外伤害。因此电表应避免安装在无遮蔽可直接淋雨位置，放置电表的箱体或其他装置应有防水和排水设计。</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远离高能量电磁环境</w:t>
      </w:r>
    </w:p>
    <w:p>
      <w:pPr>
        <w:spacing w:after="93"/>
        <w:ind w:firstLine="420"/>
        <w:jc w:val="both"/>
        <w:rPr>
          <w:rFonts w:ascii="宋体" w:hAnsi="宋体" w:eastAsia="宋体"/>
          <w:sz w:val="21"/>
          <w:szCs w:val="21"/>
        </w:rPr>
      </w:pPr>
      <w:r>
        <w:rPr>
          <w:rFonts w:ascii="宋体" w:hAnsi="宋体" w:eastAsia="宋体"/>
          <w:sz w:val="21"/>
          <w:szCs w:val="21"/>
        </w:rPr>
        <w:t>超出规定的高能电磁环境，会导致电表运行异常，甚至发生严重事故。因此安装时，需远离高能磁场、高能电场、高频能源转换设备和高频无线收发设备。此外，需要考虑防雷电措施。</w:t>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保证良好的电气环境</w:t>
      </w:r>
    </w:p>
    <w:p>
      <w:pPr>
        <w:spacing w:after="93"/>
        <w:ind w:firstLine="420"/>
        <w:jc w:val="both"/>
        <w:rPr>
          <w:rFonts w:ascii="宋体" w:hAnsi="宋体" w:eastAsia="宋体"/>
          <w:sz w:val="21"/>
          <w:szCs w:val="21"/>
        </w:rPr>
      </w:pPr>
      <w:r>
        <w:rPr>
          <w:rFonts w:ascii="宋体" w:hAnsi="宋体" w:eastAsia="宋体"/>
          <w:sz w:val="21"/>
          <w:szCs w:val="21"/>
        </w:rPr>
        <w:t>良好的电气环境能够保证操作人员的安全和电表的良好运行。安装时应保证各相线接触良好，中性线良好接地。</w:t>
      </w:r>
    </w:p>
    <w:p>
      <w:pPr>
        <w:spacing w:after="93"/>
        <w:ind w:firstLine="420"/>
        <w:jc w:val="both"/>
        <w:rPr>
          <w:rFonts w:ascii="宋体" w:hAnsi="宋体" w:eastAsia="宋体"/>
          <w:sz w:val="21"/>
          <w:szCs w:val="21"/>
        </w:rPr>
      </w:pPr>
      <w:r>
        <w:rPr>
          <w:rFonts w:ascii="宋体" w:hAnsi="宋体" w:eastAsia="宋体"/>
          <w:sz w:val="21"/>
          <w:szCs w:val="21"/>
        </w:rPr>
      </w:r>
    </w:p>
    <w:p>
      <w:pPr>
        <w:numPr>
          <w:ilvl w:val="1"/>
          <w:numId w:val="37"/>
        </w:numPr>
        <w:spacing w:before="156" w:after="156"/>
        <w:ind w:firstLine="0"/>
        <w:jc w:val="both"/>
        <w:rPr>
          <w:rFonts w:ascii="宋体" w:hAnsi="宋体" w:eastAsia="宋体"/>
          <w:sz w:val="21"/>
          <w:szCs w:val="21"/>
        </w:rPr>
      </w:pPr>
      <w:r>
        <w:rPr>
          <w:rFonts w:hint="eastAsia"/>
        </w:rPr>
      </w:r>
      <w:r>
        <w:rPr>
          <w:rFonts w:ascii="黑体" w:hAnsi="黑体" w:eastAsia="黑体"/>
          <w:sz w:val="21"/>
          <w:szCs w:val="21"/>
        </w:rPr>
        <w:t>保证安装位置的机械强度</w:t>
      </w:r>
    </w:p>
    <w:p>
      <w:pPr>
        <w:spacing w:after="93"/>
        <w:ind w:firstLine="420"/>
        <w:jc w:val="both"/>
        <w:rPr>
          <w:rFonts w:ascii="宋体" w:hAnsi="宋体" w:eastAsia="宋体"/>
          <w:sz w:val="21"/>
          <w:szCs w:val="21"/>
        </w:rPr>
      </w:pPr>
      <w:r>
        <w:rPr>
          <w:rFonts w:ascii="宋体" w:hAnsi="宋体" w:eastAsia="宋体"/>
          <w:sz w:val="21"/>
          <w:szCs w:val="21"/>
        </w:rPr>
        <w:t>应保证电表安装的位置的牢固、稳定和挂点可靠，避免安装位置有机械振动的情况。以保证电表安全可靠的运行。</w:t>
      </w:r>
    </w:p>
    <w:p>
      <w:pPr>
        <w:pStyle w:val="heading1"/>
        <w:numPr>
          <w:ilvl w:val="0"/>
          <w:numId w:val="37"/>
        </w:numPr>
        <w:snapToGrid w:val="true"/>
        <w:spacing w:before="312" w:after="312"/>
        <w:ind w:firstLine="0"/>
        <w:jc w:val="both"/>
        <w:rPr>
          <w:rFonts w:ascii="黑体" w:hAnsi="黑体" w:eastAsia="黑体"/>
        </w:rPr>
      </w:pPr>
      <w:r>
        <w:rPr>
          <w:rFonts w:hint="eastAsia"/>
        </w:rPr>
      </w:r>
      <w:r>
        <w:rPr>
          <w:rFonts w:ascii="黑体" w:hAnsi="黑体" w:eastAsia="黑体"/>
        </w:rPr>
        <w:t>使用注意事项</w:t>
      </w:r>
    </w:p>
    <w:p>
      <w:pPr>
        <w:numPr>
          <w:ilvl w:val="0"/>
          <w:numId w:val="43"/>
        </w:numPr>
        <w:spacing/>
        <w:ind w:left="839" w:hanging="419"/>
        <w:jc w:val="left"/>
        <w:rPr>
          <w:rFonts w:ascii="宋体" w:hAnsi="宋体" w:eastAsia="宋体"/>
          <w:sz w:val="21"/>
          <w:szCs w:val="21"/>
        </w:rPr>
      </w:pPr>
      <w:r>
        <w:rPr>
          <w:rFonts w:hint="eastAsia"/>
        </w:rPr>
      </w:r>
      <w:r>
        <w:rPr>
          <w:rFonts w:ascii="宋体" w:hAnsi="宋体" w:eastAsia="宋体"/>
          <w:sz w:val="21"/>
          <w:szCs w:val="21"/>
        </w:rPr>
        <w:t>本产品为全电子式电能表，内部无用户可调部件。</w:t>
      </w:r>
    </w:p>
    <w:p>
      <w:pPr>
        <w:numPr>
          <w:ilvl w:val="0"/>
          <w:numId w:val="42"/>
        </w:numPr>
        <w:spacing/>
        <w:ind w:left="839" w:hanging="419"/>
        <w:jc w:val="both"/>
        <w:rPr>
          <w:rFonts w:ascii="宋体" w:hAnsi="宋体" w:eastAsia="宋体"/>
          <w:sz w:val="21"/>
          <w:szCs w:val="21"/>
        </w:rPr>
      </w:pPr>
      <w:r>
        <w:rPr>
          <w:rFonts w:hint="eastAsia"/>
        </w:rPr>
      </w:r>
      <w:r>
        <w:rPr>
          <w:rFonts w:ascii="宋体" w:hAnsi="宋体" w:eastAsia="宋体"/>
          <w:sz w:val="21"/>
          <w:szCs w:val="21"/>
        </w:rPr>
        <w:t>接线时，应注意电能表标称电压、电流。且不可超标称电压或最大允许电流以免烧坏电能表。</w:t>
      </w:r>
    </w:p>
    <w:p>
      <w:pPr>
        <w:numPr>
          <w:ilvl w:val="0"/>
          <w:numId w:val="42"/>
        </w:numPr>
        <w:spacing/>
        <w:ind w:left="839" w:hanging="419"/>
        <w:jc w:val="both"/>
        <w:rPr>
          <w:rFonts w:ascii="宋体" w:hAnsi="宋体" w:eastAsia="宋体"/>
          <w:sz w:val="21"/>
          <w:szCs w:val="21"/>
        </w:rPr>
      </w:pPr>
      <w:r>
        <w:rPr>
          <w:rFonts w:hint="eastAsia"/>
        </w:rPr>
      </w:r>
      <w:r>
        <w:rPr>
          <w:rFonts w:ascii="宋体" w:hAnsi="宋体" w:eastAsia="宋体"/>
          <w:sz w:val="21"/>
          <w:szCs w:val="21"/>
        </w:rPr>
        <w:t>接入电能表的导线截面积应满足负载电流要求，避免因接触不良或进线太细而引起发热损坏电能表，建议使用铜线或铜接头引入。另外接线必须接牢并紧固。</w:t>
      </w:r>
    </w:p>
    <w:p>
      <w:pPr>
        <w:numPr>
          <w:ilvl w:val="0"/>
          <w:numId w:val="42"/>
        </w:numPr>
        <w:spacing/>
        <w:ind w:left="839" w:hanging="419"/>
        <w:jc w:val="both"/>
        <w:rPr>
          <w:rFonts w:ascii="宋体" w:hAnsi="宋体" w:eastAsia="宋体"/>
          <w:sz w:val="21"/>
          <w:szCs w:val="21"/>
        </w:rPr>
      </w:pPr>
      <w:r>
        <w:rPr>
          <w:rFonts w:hint="eastAsia"/>
        </w:rPr>
      </w:r>
      <w:r>
        <w:rPr>
          <w:rFonts w:ascii="宋体" w:hAnsi="宋体" w:eastAsia="宋体"/>
          <w:sz w:val="21"/>
          <w:szCs w:val="21"/>
        </w:rPr>
        <w:t>接线时，应注意不要将进出线接错。</w:t>
      </w:r>
    </w:p>
    <w:p>
      <w:pPr>
        <w:numPr>
          <w:ilvl w:val="0"/>
          <w:numId w:val="42"/>
        </w:numPr>
        <w:spacing/>
        <w:ind w:left="839" w:hanging="419"/>
        <w:jc w:val="both"/>
        <w:rPr>
          <w:rFonts w:ascii="宋体" w:hAnsi="宋体" w:eastAsia="宋体"/>
          <w:sz w:val="21"/>
          <w:szCs w:val="21"/>
        </w:rPr>
      </w:pPr>
      <w:r>
        <w:rPr>
          <w:rFonts w:hint="eastAsia"/>
        </w:rPr>
      </w:r>
      <w:r>
        <w:rPr>
          <w:rFonts w:ascii="宋体" w:hAnsi="宋体" w:eastAsia="宋体"/>
          <w:sz w:val="21"/>
          <w:szCs w:val="21"/>
        </w:rPr>
        <w:t>请时刻注意观察电池的欠压指示，电池欠压时请尽快更换。</w:t>
      </w:r>
    </w:p>
    <w:p>
      <w:pPr>
        <w:numPr>
          <w:ilvl w:val="0"/>
          <w:numId w:val="42"/>
        </w:numPr>
        <w:spacing/>
        <w:ind w:left="839" w:hanging="419"/>
        <w:jc w:val="both"/>
        <w:rPr>
          <w:rFonts w:ascii="宋体" w:hAnsi="宋体" w:eastAsia="宋体"/>
          <w:sz w:val="21"/>
          <w:szCs w:val="21"/>
        </w:rPr>
      </w:pPr>
      <w:r>
        <w:rPr>
          <w:rFonts w:hint="eastAsia"/>
        </w:rPr>
      </w:r>
      <w:r>
        <w:rPr>
          <w:rFonts w:ascii="宋体" w:hAnsi="宋体" w:eastAsia="宋体"/>
          <w:sz w:val="21"/>
          <w:szCs w:val="21"/>
        </w:rPr>
        <w:t>电能表的红外光口不应有强光照射。</w:t>
      </w:r>
    </w:p>
    <w:p>
      <w:pPr>
        <w:numPr>
          <w:ilvl w:val="0"/>
          <w:numId w:val="42"/>
        </w:numPr>
        <w:spacing/>
        <w:ind w:left="839" w:hanging="419"/>
        <w:jc w:val="both"/>
        <w:rPr>
          <w:rFonts w:ascii="宋体" w:hAnsi="宋体" w:eastAsia="宋体"/>
          <w:sz w:val="21"/>
          <w:szCs w:val="21"/>
        </w:rPr>
      </w:pPr>
      <w:r>
        <w:rPr>
          <w:rFonts w:hint="eastAsia"/>
        </w:rPr>
      </w:r>
      <w:r>
        <w:rPr>
          <w:rFonts w:ascii="宋体" w:hAnsi="宋体" w:eastAsia="宋体"/>
          <w:sz w:val="21"/>
          <w:szCs w:val="21"/>
        </w:rPr>
        <w:t>接线后应将端盖铅封。</w:t>
      </w:r>
    </w:p>
    <w:p>
      <w:pPr>
        <w:numPr>
          <w:ilvl w:val="0"/>
          <w:numId w:val="42"/>
        </w:numPr>
        <w:spacing/>
        <w:ind w:left="839" w:hanging="419"/>
        <w:jc w:val="both"/>
        <w:rPr>
          <w:rFonts w:ascii="宋体" w:hAnsi="宋体" w:eastAsia="宋体"/>
          <w:sz w:val="21"/>
          <w:szCs w:val="21"/>
        </w:rPr>
      </w:pPr>
      <w:r>
        <w:rPr>
          <w:rFonts w:hint="eastAsia"/>
        </w:rPr>
      </w:r>
      <w:r>
        <w:rPr>
          <w:rFonts w:ascii="Times New Roman" w:hAnsi="Times New Roman" w:eastAsia="Times New Roman"/>
          <w:sz w:val="21"/>
          <w:szCs w:val="21"/>
        </w:rPr>
        <w:t>RS485</w:t>
      </w:r>
      <w:r>
        <w:rPr>
          <w:rFonts w:hint="eastAsia"/>
        </w:rPr>
      </w:r>
      <w:r>
        <w:rPr>
          <w:rFonts w:ascii="宋体" w:hAnsi="宋体" w:eastAsia="宋体"/>
          <w:sz w:val="21"/>
          <w:szCs w:val="21"/>
        </w:rPr>
        <w:t>接线时，请注意</w:t>
      </w:r>
      <w:r>
        <w:rPr>
          <w:rFonts w:hint="eastAsia"/>
        </w:rPr>
      </w:r>
      <w:r>
        <w:rPr>
          <w:rFonts w:ascii="Times New Roman" w:hAnsi="Times New Roman" w:eastAsia="Times New Roman"/>
          <w:sz w:val="21"/>
          <w:szCs w:val="21"/>
        </w:rPr>
        <w:t>A</w:t>
      </w:r>
      <w:r>
        <w:rPr>
          <w:rFonts w:hint="eastAsia"/>
        </w:rPr>
      </w:r>
      <w:r>
        <w:rPr>
          <w:rFonts w:ascii="宋体" w:hAnsi="宋体" w:eastAsia="宋体"/>
          <w:sz w:val="21"/>
          <w:szCs w:val="21"/>
        </w:rPr>
        <w:t>、</w:t>
      </w:r>
      <w:r>
        <w:rPr>
          <w:rFonts w:hint="eastAsia"/>
        </w:rPr>
      </w:r>
      <w:r>
        <w:rPr>
          <w:rFonts w:ascii="Times New Roman" w:hAnsi="Times New Roman" w:eastAsia="Times New Roman"/>
          <w:sz w:val="21"/>
          <w:szCs w:val="21"/>
        </w:rPr>
        <w:t>B</w:t>
      </w:r>
      <w:r>
        <w:rPr>
          <w:rFonts w:hint="eastAsia"/>
        </w:rPr>
      </w:r>
      <w:r>
        <w:rPr>
          <w:rFonts w:ascii="宋体" w:hAnsi="宋体" w:eastAsia="宋体"/>
          <w:sz w:val="21"/>
          <w:szCs w:val="21"/>
        </w:rPr>
        <w:t>，不要接反，建议选用屏蔽双绞线。</w:t>
      </w:r>
    </w:p>
    <w:p>
      <w:pPr>
        <w:pStyle w:val="heading1"/>
        <w:numPr>
          <w:ilvl w:val="0"/>
          <w:numId w:val="37"/>
        </w:numPr>
        <w:snapToGrid w:val="true"/>
        <w:spacing w:before="312" w:after="312"/>
        <w:ind w:firstLine="0"/>
        <w:jc w:val="both"/>
        <w:rPr>
          <w:rFonts w:ascii="黑体" w:hAnsi="黑体" w:eastAsia="黑体"/>
        </w:rPr>
      </w:pPr>
      <w:r>
        <w:rPr>
          <w:rFonts w:hint="eastAsia"/>
        </w:rPr>
      </w:r>
      <w:r>
        <w:rPr>
          <w:rFonts w:ascii="黑体" w:hAnsi="黑体" w:eastAsia="黑体"/>
        </w:rPr>
        <w:t>运输和储存</w:t>
      </w:r>
    </w:p>
    <w:p>
      <w:pPr>
        <w:numPr>
          <w:ilvl w:val="0"/>
          <w:numId w:val="44"/>
        </w:numPr>
        <w:spacing/>
        <w:ind w:left="839" w:hanging="419"/>
        <w:jc w:val="left"/>
        <w:rPr>
          <w:rFonts w:ascii="宋体" w:hAnsi="宋体" w:eastAsia="宋体"/>
          <w:sz w:val="21"/>
          <w:szCs w:val="21"/>
        </w:rPr>
      </w:pPr>
      <w:r>
        <w:rPr>
          <w:rFonts w:hint="eastAsia"/>
        </w:rPr>
      </w:r>
      <w:r>
        <w:rPr>
          <w:rFonts w:ascii="宋体" w:hAnsi="宋体" w:eastAsia="宋体"/>
          <w:sz w:val="21"/>
          <w:szCs w:val="21"/>
        </w:rPr>
        <w:t>电表的运输和拆封不应受到剧烈冲击，并且根据</w:t>
      </w:r>
      <w:r>
        <w:rPr>
          <w:rFonts w:hint="eastAsia"/>
        </w:rPr>
      </w:r>
      <w:r>
        <w:rPr>
          <w:rFonts w:ascii="Times New Roman" w:hAnsi="Times New Roman" w:eastAsia="Times New Roman"/>
          <w:sz w:val="21"/>
          <w:szCs w:val="21"/>
        </w:rPr>
        <w:t>JB/T 9329-1999</w:t>
      </w:r>
      <w:r>
        <w:rPr>
          <w:rFonts w:hint="eastAsia"/>
        </w:rPr>
      </w:r>
      <w:r>
        <w:rPr>
          <w:rFonts w:ascii="宋体" w:hAnsi="宋体" w:eastAsia="宋体"/>
          <w:sz w:val="21"/>
          <w:szCs w:val="21"/>
        </w:rPr>
        <w:t>《仪器仪表运输、运输贮存基本环境条件及试验方法》规定运输、贮存。</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库存和保管应在原包装条件下存放在支架上，叠放高度不应超过五层。</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将电表保存在原包装箱内，保存的地方环境温度为</w:t>
      </w:r>
      <w:r>
        <w:rPr>
          <w:rFonts w:hint="eastAsia"/>
        </w:rPr>
      </w:r>
      <w:r>
        <w:rPr>
          <w:rFonts w:ascii="Times New Roman" w:hAnsi="Times New Roman" w:eastAsia="Times New Roman"/>
          <w:sz w:val="21"/>
          <w:szCs w:val="21"/>
        </w:rPr>
        <w:t>-50</w:t>
      </w:r>
      <w:r>
        <w:rPr>
          <w:rFonts w:hint="eastAsia"/>
        </w:rPr>
      </w:r>
      <w:r>
        <w:rPr>
          <w:rFonts w:ascii="宋体" w:hAnsi="宋体" w:eastAsia="宋体"/>
          <w:sz w:val="21"/>
          <w:szCs w:val="21"/>
        </w:rPr>
        <w:t>℃～</w:t>
      </w:r>
      <w:r>
        <w:rPr>
          <w:rFonts w:hint="eastAsia"/>
        </w:rPr>
      </w:r>
      <w:r>
        <w:rPr>
          <w:rFonts w:ascii="Times New Roman" w:hAnsi="Times New Roman" w:eastAsia="Times New Roman"/>
          <w:sz w:val="21"/>
          <w:szCs w:val="21"/>
        </w:rPr>
        <w:t>+85</w:t>
      </w:r>
      <w:r>
        <w:rPr>
          <w:rFonts w:hint="eastAsia"/>
        </w:rPr>
      </w:r>
      <w:r>
        <w:rPr>
          <w:rFonts w:ascii="宋体" w:hAnsi="宋体" w:eastAsia="宋体"/>
          <w:sz w:val="21"/>
          <w:szCs w:val="21"/>
        </w:rPr>
        <w:t>℃。相对湿度不超过</w:t>
      </w:r>
      <w:r>
        <w:rPr>
          <w:rFonts w:hint="eastAsia"/>
        </w:rPr>
      </w:r>
      <w:r>
        <w:rPr>
          <w:rFonts w:ascii="Times New Roman" w:hAnsi="Times New Roman" w:eastAsia="Times New Roman"/>
          <w:sz w:val="21"/>
          <w:szCs w:val="21"/>
        </w:rPr>
        <w:t>85%</w:t>
      </w:r>
      <w:r>
        <w:rPr>
          <w:rFonts w:hint="eastAsia"/>
        </w:rPr>
      </w:r>
      <w:r>
        <w:rPr>
          <w:rFonts w:ascii="宋体" w:hAnsi="宋体" w:eastAsia="宋体"/>
          <w:sz w:val="21"/>
          <w:szCs w:val="21"/>
        </w:rPr>
        <w:t>，且在空气中不应含有足以引起腐蚀的气体。</w:t>
      </w:r>
    </w:p>
    <w:p>
      <w:pPr>
        <w:numPr>
          <w:ilvl w:val="0"/>
          <w:numId w:val="35"/>
        </w:numPr>
        <w:spacing/>
        <w:ind w:left="839" w:hanging="419"/>
        <w:jc w:val="both"/>
        <w:rPr>
          <w:rFonts w:ascii="宋体" w:hAnsi="宋体" w:eastAsia="宋体"/>
          <w:sz w:val="21"/>
          <w:szCs w:val="21"/>
        </w:rPr>
      </w:pPr>
      <w:r>
        <w:rPr>
          <w:rFonts w:hint="eastAsia"/>
        </w:rPr>
      </w:r>
      <w:r>
        <w:rPr>
          <w:rFonts w:ascii="宋体" w:hAnsi="宋体" w:eastAsia="宋体"/>
          <w:sz w:val="21"/>
          <w:szCs w:val="21"/>
        </w:rPr>
        <w:t>本产品为固态静止式仪表，内部无用户可调整的部件，使用中毋需打开外壳。</w:t>
      </w:r>
    </w:p>
    <w:p>
      <w:pPr>
        <w:pStyle w:val="heading1"/>
        <w:numPr>
          <w:ilvl w:val="0"/>
          <w:numId w:val="37"/>
        </w:numPr>
        <w:snapToGrid w:val="true"/>
        <w:spacing w:before="312" w:after="312"/>
        <w:ind w:firstLine="0"/>
        <w:jc w:val="both"/>
        <w:rPr>
          <w:rFonts w:ascii="黑体" w:hAnsi="黑体" w:eastAsia="黑体"/>
        </w:rPr>
      </w:pPr>
      <w:r>
        <w:rPr>
          <w:rFonts w:hint="eastAsia"/>
        </w:rPr>
      </w:r>
      <w:r>
        <w:rPr>
          <w:rFonts w:ascii="黑体" w:hAnsi="黑体" w:eastAsia="黑体"/>
        </w:rPr>
        <w:t>保修期限</w:t>
      </w:r>
    </w:p>
    <w:p>
      <w:pPr>
        <w:spacing w:after="93"/>
        <w:ind w:firstLine="420"/>
        <w:jc w:val="both"/>
        <w:rPr>
          <w:rFonts w:ascii="宋体" w:hAnsi="宋体" w:eastAsia="宋体"/>
          <w:sz w:val="21"/>
          <w:szCs w:val="21"/>
        </w:rPr>
      </w:pPr>
      <w:r>
        <w:rPr>
          <w:rFonts w:ascii="宋体" w:hAnsi="宋体" w:eastAsia="宋体"/>
          <w:sz w:val="21"/>
          <w:szCs w:val="21"/>
        </w:rPr>
        <w:t>电表自发货日起</w:t>
      </w:r>
      <w:r>
        <w:rPr>
          <w:rFonts w:ascii="Times New Roman" w:hAnsi="Times New Roman" w:eastAsia="Times New Roman"/>
          <w:sz w:val="21"/>
          <w:szCs w:val="21"/>
        </w:rPr>
        <w:t>18</w:t>
      </w:r>
      <w:r>
        <w:rPr>
          <w:rFonts w:ascii="宋体" w:hAnsi="宋体" w:eastAsia="宋体"/>
          <w:sz w:val="21"/>
          <w:szCs w:val="21"/>
        </w:rPr>
        <w:t>个月内，在用户遵守说明书规定要求，且制造厂铅封仍完整的条件下，若有质量问题，我公司负责免费修理或更换。</w:t>
      </w:r>
      <w:r>
        <w:rPr>
          <w:rFonts w:ascii="Times New Roman" w:hAnsi="Times New Roman" w:eastAsia="Times New Roman"/>
          <w:sz w:val="21"/>
          <w:szCs w:val="21"/>
        </w:rPr>
        <w:t>18</w:t>
      </w:r>
      <w:r>
        <w:rPr>
          <w:rFonts w:ascii="宋体" w:hAnsi="宋体" w:eastAsia="宋体"/>
          <w:sz w:val="21"/>
          <w:szCs w:val="21"/>
        </w:rPr>
        <w:t>个月后，公司保证提供售后服务。</w:t>
      </w:r>
    </w:p>
    <w:p>
      <w:pPr>
        <w:pStyle w:val="heading1"/>
        <w:numPr>
          <w:ilvl w:val="0"/>
          <w:numId w:val="37"/>
        </w:numPr>
        <w:snapToGrid w:val="true"/>
        <w:spacing w:before="312" w:after="312"/>
        <w:ind w:firstLine="0"/>
        <w:jc w:val="both"/>
        <w:rPr>
          <w:rFonts w:ascii="黑体" w:hAnsi="黑体" w:eastAsia="黑体"/>
        </w:rPr>
      </w:pPr>
      <w:r>
        <w:rPr>
          <w:rFonts w:hint="eastAsia"/>
        </w:rPr>
      </w:r>
      <w:r>
        <w:rPr>
          <w:rFonts w:ascii="黑体" w:hAnsi="黑体" w:eastAsia="黑体"/>
        </w:rPr>
        <w:t>声明</w:t>
      </w:r>
    </w:p>
    <w:p>
      <w:pPr>
        <w:spacing/>
        <w:ind w:firstLineChars="200"/>
        <w:jc w:val="both"/>
        <w:rPr>
          <w:rFonts w:ascii="宋体" w:hAnsi="宋体" w:eastAsia="宋体"/>
          <w:sz w:val="21"/>
          <w:szCs w:val="21"/>
        </w:rPr>
      </w:pPr>
      <w:r>
        <w:rPr>
          <w:rFonts w:ascii="宋体" w:hAnsi="宋体" w:eastAsia="宋体"/>
          <w:sz w:val="21"/>
          <w:szCs w:val="21"/>
        </w:rPr>
        <w:t>本说明书的内容可能会由于设计的改进而需要进行更改，青岛鼎信通讯股份有限公司保留在不预先通知的情况下，对本使用说明进行修改的权利。</w:t>
      </w:r>
    </w:p>
    <w:p>
      <w:pPr>
        <w:spacing/>
        <w:ind/>
        <w:jc w:val="both"/>
        <w:rPr>
          <w:rFonts w:ascii="宋体" w:hAnsi="宋体" w:eastAsia="宋体"/>
          <w:sz w:val="21"/>
          <w:szCs w:val="21"/>
        </w:rPr>
      </w:pPr>
      <w:r>
        <w:rPr>
          <w:rFonts w:ascii="Times New Roman" w:hAnsi="Times New Roman" w:eastAsia="Times New Roman"/>
          <w:sz w:val="21"/>
          <w:szCs w:val="21"/>
        </w:rPr>
        <w:t>________________________________</w:t>
      </w:r>
    </w:p>
    <w:sectPr w:rsidR="00C604EC">
      <w:headerReference w:type="default" r:id="rId52"/>
      <w:footerReference w:type="default" r:id="rId53"/>
      <w:pgSz w:w="11906" w:h="16838"/>
      <w:pgMar w:top="567" w:right="1134" w:bottom="1134"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xml><?xml version="1.0" encoding="utf-8"?>
<w:ft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w:p>
    <w:pPr>
      <w:spacing w:before="120"/>
      <w:ind/>
      <w:jc w:val="right"/>
      <w:rPr>
        <w:rFonts w:ascii="宋体" w:hAnsi="宋体" w:eastAsia="宋体"/>
        <w:sz w:val="18"/>
        <w:szCs w:val="18"/>
      </w:rPr>
    </w:pPr>
    <w:r>
      <w:fldChar w:fldCharType="begin"/>
    </w:r>
    <w:r>
      <w:rPr>
        <w:rFonts w:ascii="Times New Roman" w:hAnsi="Times New Roman" w:eastAsia="Times New Roman"/>
        <w:sz w:val="18"/>
        <w:szCs w:val="18"/>
      </w:rPr>
      <w:instrText xml:space="preserve">PAGE</w:instrText>
    </w:r>
    <w:r>
      <w:fldChar w:fldCharType="end"/>
    </w:r>
  </w:p>
</w:ftr>
</file>

<file path=word/header.xml><?xml version="1.0" encoding="utf-8"?>
<w:hdr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w:p>
    <w:pPr>
      <w:spacing w:after="220"/>
      <w:ind/>
      <w:jc w:val="right"/>
      <w:rPr>
        <w:rFonts w:ascii="宋体" w:hAnsi="宋体" w:eastAsia="宋体"/>
        <w:sz w:val="21"/>
        <w:szCs w:val="21"/>
      </w:rPr>
    </w:pPr>
    <w:r>
      <w:rPr>
        <w:rFonts w:ascii="宋体" w:hAnsi="宋体" w:eastAsia="宋体"/>
        <w:sz w:val="21"/>
        <w:szCs w:val="21"/>
      </w:rPr>
      <w:t>                                </w:t>
    </w:r>
    <w:r>
      <w:rPr>
        <w:rFonts w:ascii="宋体" w:hAnsi="宋体" w:eastAsia="宋体"/>
        <w:sz w:val="24"/>
        <w:szCs w:val="24"/>
      </w:rPr>
      <w:t>DTZY1710C-G型三相四线费控智能电能表使用说明书</w: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w:abstractNum w:abstractNumId="0">
    <w:nsid w:val="1E537D43"/>
    <w:multiLevelType w:val="multilevel"/>
    <w:tmpl w:val="1E537D43"/>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1">
    <w:nsid w:val="323C7824"/>
    <w:multiLevelType w:val="multilevel"/>
    <w:tmpl w:val="323C7824"/>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2">
    <w:nsid w:val="513362E4"/>
    <w:multiLevelType w:val="multilevel"/>
    <w:tmpl w:val="513362E4"/>
    <w:lvl w:ilvl="0">
      <w:start w:val="1"/>
      <w:numFmt w:val="bullet"/>
      <w:lvlText w:val=""/>
      <w:lvlJc w:val="left"/>
      <w:pPr>
        <w:ind w:left="227" w:hanging="227"/>
      </w:pPr>
      <w:rPr>
        <w:rFonts w:hint="default" w:ascii="Wingdings" w:hAnsi="Wingdings"/>
      </w:rPr>
    </w:lvl>
    <w:lvl w:ilvl="1">
      <w:start w:val="1"/>
      <w:numFmt w:val="bullet"/>
      <w:lvlText w:val=""/>
      <w:lvlJc w:val="left"/>
      <w:pPr>
        <w:ind w:left="567" w:hanging="227"/>
      </w:pPr>
      <w:rPr>
        <w:rFonts w:hint="default" w:ascii="Wingdings" w:hAnsi="Wingdings"/>
      </w:rPr>
    </w:lvl>
    <w:lvl w:ilvl="2">
      <w:start w:val="1"/>
      <w:numFmt w:val="bullet"/>
      <w:lvlText w:val=""/>
      <w:lvlJc w:val="left"/>
      <w:pPr>
        <w:ind w:left="907" w:hanging="227"/>
      </w:pPr>
      <w:rPr>
        <w:rFonts w:hint="default" w:ascii="Wingdings" w:hAnsi="Wingdings"/>
      </w:rPr>
    </w:lvl>
    <w:lvl w:ilvl="3">
      <w:start w:val="1"/>
      <w:numFmt w:val="bullet"/>
      <w:lvlText w:val=""/>
      <w:lvlJc w:val="left"/>
      <w:pPr>
        <w:ind w:left="1247" w:hanging="227"/>
      </w:pPr>
      <w:rPr>
        <w:rFonts w:hint="default" w:ascii="Wingdings" w:hAnsi="Wingdings"/>
      </w:rPr>
    </w:lvl>
    <w:lvl w:ilvl="4">
      <w:start w:val="1"/>
      <w:numFmt w:val="bullet"/>
      <w:lvlText w:val=""/>
      <w:lvlJc w:val="left"/>
      <w:pPr>
        <w:ind w:left="1587" w:hanging="227"/>
      </w:pPr>
      <w:rPr>
        <w:rFonts w:hint="default" w:ascii="Wingdings" w:hAnsi="Wingdings"/>
      </w:rPr>
    </w:lvl>
    <w:lvl w:ilvl="5">
      <w:start w:val="1"/>
      <w:numFmt w:val="bullet"/>
      <w:lvlText w:val=""/>
      <w:lvlJc w:val="left"/>
      <w:pPr>
        <w:ind w:left="1927" w:hanging="227"/>
      </w:pPr>
      <w:rPr>
        <w:rFonts w:hint="default" w:ascii="Wingdings" w:hAnsi="Wingdings"/>
      </w:rPr>
    </w:lvl>
    <w:lvl w:ilvl="6">
      <w:start w:val="1"/>
      <w:numFmt w:val="bullet"/>
      <w:lvlText w:val=""/>
      <w:lvlJc w:val="left"/>
      <w:pPr>
        <w:ind w:left="2267" w:hanging="227"/>
      </w:pPr>
      <w:rPr>
        <w:rFonts w:hint="default" w:ascii="Wingdings" w:hAnsi="Wingdings"/>
      </w:rPr>
    </w:lvl>
    <w:lvl w:ilvl="7">
      <w:start w:val="1"/>
      <w:numFmt w:val="bullet"/>
      <w:lvlText w:val=""/>
      <w:lvlJc w:val="left"/>
      <w:pPr>
        <w:ind w:left="2607" w:hanging="227"/>
      </w:pPr>
      <w:rPr>
        <w:rFonts w:hint="default" w:ascii="Wingdings" w:hAnsi="Wingdings"/>
      </w:rPr>
    </w:lvl>
    <w:lvl w:ilvl="8">
      <w:start w:val="1"/>
      <w:numFmt w:val="bullet"/>
      <w:lvlText w:val=""/>
      <w:lvlJc w:val="left"/>
      <w:pPr>
        <w:ind w:left="2947" w:hanging="227"/>
      </w:pPr>
      <w:rPr>
        <w:rFonts w:hint="default" w:ascii="Wingdings" w:hAnsi="Wingdings"/>
      </w:rPr>
    </w:lvl>
  </w:abstractNum>
  <w:abstractNum w:abstractNumId="3">
    <w:nsid w:val="5AA9370F"/>
    <w:multiLevelType w:val="multilevel"/>
    <w:tmpl w:val="5AA9370F"/>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4">
    <w:nsid w:val="5AA93721"/>
    <w:multiLevelType w:val="multilevel"/>
    <w:tmpl w:val="5AA937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5">
    <w:nsid w:val="5AA9374C"/>
    <w:multiLevelType w:val="multilevel"/>
    <w:tmpl w:val="5AA9374C"/>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6">
    <w:nsid w:val="5AA93847"/>
    <w:multiLevelType w:val="multilevel"/>
    <w:tmpl w:val="5AA93847"/>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7">
    <w:nsid w:val="5AA9385D"/>
    <w:multiLevelType w:val="multilevel"/>
    <w:tmpl w:val="5AA9385D"/>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8">
    <w:nsid w:val="5AA93871"/>
    <w:multiLevelType w:val="multilevel"/>
    <w:tmpl w:val="5AA9387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9">
    <w:nsid w:val="5AA93884"/>
    <w:multiLevelType w:val="multilevel"/>
    <w:tmpl w:val="5AA9388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0">
    <w:nsid w:val="5AA938A6"/>
    <w:multiLevelType w:val="multilevel"/>
    <w:tmpl w:val="5AA938A6"/>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1">
    <w:nsid w:val="5AA938BA"/>
    <w:multiLevelType w:val="multilevel"/>
    <w:tmpl w:val="5AA938B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2">
    <w:nsid w:val="5AA939C1"/>
    <w:multiLevelType w:val="multilevel"/>
    <w:tmpl w:val="5AA939C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3">
    <w:nsid w:val="5AA939F5"/>
    <w:multiLevelType w:val="multilevel"/>
    <w:tmpl w:val="5AA939F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4">
    <w:nsid w:val="5AA93A09"/>
    <w:multiLevelType w:val="multilevel"/>
    <w:tmpl w:val="5AA93A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5">
    <w:nsid w:val="5AA9DAE5"/>
    <w:multiLevelType w:val="multilevel"/>
    <w:tmpl w:val="5AA9DAE5"/>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6">
    <w:nsid w:val="5AA9DAF8"/>
    <w:multiLevelType w:val="multilevel"/>
    <w:tmpl w:val="5AA9DAF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7">
    <w:nsid w:val="5AA9DB09"/>
    <w:multiLevelType w:val="multilevel"/>
    <w:tmpl w:val="5AA9DB0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8">
    <w:nsid w:val="5AA9DB19"/>
    <w:multiLevelType w:val="multilevel"/>
    <w:tmpl w:val="5AA9DB1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19">
    <w:nsid w:val="5AA9DB29"/>
    <w:multiLevelType w:val="multilevel"/>
    <w:tmpl w:val="5AA9DB2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0">
    <w:nsid w:val="5AA9DB3A"/>
    <w:multiLevelType w:val="multilevel"/>
    <w:tmpl w:val="5AA9DB3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1">
    <w:nsid w:val="5AA9DB4A"/>
    <w:multiLevelType w:val="multilevel"/>
    <w:tmpl w:val="5AA9DB4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2">
    <w:nsid w:val="5AA9DB5A"/>
    <w:multiLevelType w:val="multilevel"/>
    <w:tmpl w:val="5AA9DB5A"/>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3">
    <w:nsid w:val="5AA9DC10"/>
    <w:multiLevelType w:val="multilevel"/>
    <w:tmpl w:val="5AA9DC10"/>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4">
    <w:nsid w:val="5AA9DC21"/>
    <w:multiLevelType w:val="multilevel"/>
    <w:tmpl w:val="5AA9DC21"/>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5">
    <w:nsid w:val="5AA9DC48"/>
    <w:multiLevelType w:val="multilevel"/>
    <w:tmpl w:val="5AA9DC48"/>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6">
    <w:nsid w:val="5AA9DC59"/>
    <w:multiLevelType w:val="multilevel"/>
    <w:tmpl w:val="5AA9DC59"/>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7">
    <w:nsid w:val="5AA9DD04"/>
    <w:multiLevelType w:val="multilevel"/>
    <w:tmpl w:val="5AA9DD0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8">
    <w:nsid w:val="5AA9DD14"/>
    <w:multiLevelType w:val="multilevel"/>
    <w:tmpl w:val="5AA9DD1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29">
    <w:nsid w:val="5AA9DD24"/>
    <w:multiLevelType w:val="multilevel"/>
    <w:tmpl w:val="5AA9DD24"/>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0">
    <w:nsid w:val="5B4947AB"/>
    <w:multiLevelType w:val="multilevel"/>
    <w:tmpl w:val="5B4947AB"/>
    <w:lvl w:ilvl="0">
      <w:start w:val="1"/>
      <w:numFmt w:val="decimal"/>
      <w:lvlText w:val="%1."/>
      <w:lvlJc w:val="left"/>
      <w:pPr>
        <w:ind w:left="227" w:hanging="227"/>
      </w:pPr>
      <w:rPr>
        <w:rFonts w:hint="eastAsia"/>
      </w:rPr>
    </w:lvl>
    <w:lvl w:ilvl="1">
      <w:start w:val="1"/>
      <w:numFmt w:val="lowerLetter"/>
      <w:suff w:val="space"/>
      <w:lvlText w:val="%2."/>
      <w:lvlJc w:val="left"/>
      <w:pPr>
        <w:ind w:left="680" w:hanging="226"/>
      </w:pPr>
      <w:rPr>
        <w:rFonts w:hint="default" w:ascii="Times New Roman" w:hAnsi="Times New Roman"/>
      </w:rPr>
    </w:lvl>
    <w:lvl w:ilvl="2">
      <w:start w:val="1"/>
      <w:numFmt w:val="lowerRoman"/>
      <w:suff w:val="space"/>
      <w:lvlText w:val="%3."/>
      <w:lvlJc w:val="left"/>
      <w:pPr>
        <w:ind w:left="1134" w:hanging="226"/>
      </w:pPr>
      <w:rPr>
        <w:rFonts w:hint="eastAsia"/>
      </w:rPr>
    </w:lvl>
    <w:lvl w:ilvl="3">
      <w:start w:val="1"/>
      <w:numFmt w:val="decimal"/>
      <w:suff w:val="space"/>
      <w:lvlText w:val="%4."/>
      <w:lvlJc w:val="left"/>
      <w:pPr>
        <w:ind w:left="1588" w:hanging="226"/>
      </w:pPr>
      <w:rPr>
        <w:rFonts w:hint="eastAsia"/>
      </w:rPr>
    </w:lvl>
    <w:lvl w:ilvl="4">
      <w:start w:val="1"/>
      <w:numFmt w:val="lowerLetter"/>
      <w:suff w:val="space"/>
      <w:lvlText w:val="%5."/>
      <w:lvlJc w:val="left"/>
      <w:pPr>
        <w:ind w:left="2041" w:hanging="225"/>
      </w:pPr>
      <w:rPr>
        <w:rFonts w:hint="eastAsia"/>
      </w:rPr>
    </w:lvl>
    <w:lvl w:ilvl="5">
      <w:start w:val="1"/>
      <w:numFmt w:val="lowerRoman"/>
      <w:suff w:val="space"/>
      <w:lvlText w:val="%6."/>
      <w:lvlJc w:val="left"/>
      <w:pPr>
        <w:ind w:left="2495" w:hanging="225"/>
      </w:pPr>
      <w:rPr>
        <w:rFonts w:hint="eastAsia"/>
      </w:rPr>
    </w:lvl>
    <w:lvl w:ilvl="6">
      <w:start w:val="1"/>
      <w:numFmt w:val="decimal"/>
      <w:suff w:val="space"/>
      <w:lvlText w:val="%7."/>
      <w:lvlJc w:val="left"/>
      <w:pPr>
        <w:ind w:left="2948" w:hanging="224"/>
      </w:pPr>
      <w:rPr>
        <w:rFonts w:hint="eastAsia"/>
      </w:rPr>
    </w:lvl>
    <w:lvl w:ilvl="7">
      <w:start w:val="1"/>
      <w:numFmt w:val="lowerLetter"/>
      <w:suff w:val="space"/>
      <w:lvlText w:val="%8."/>
      <w:lvlJc w:val="left"/>
      <w:pPr>
        <w:ind w:left="3402" w:hanging="224"/>
      </w:pPr>
      <w:rPr>
        <w:rFonts w:hint="eastAsia"/>
      </w:rPr>
    </w:lvl>
    <w:lvl w:ilvl="8">
      <w:start w:val="1"/>
      <w:numFmt w:val="lowerRoman"/>
      <w:suff w:val="space"/>
      <w:lvlText w:val="%9."/>
      <w:lvlJc w:val="left"/>
      <w:pPr>
        <w:ind w:left="3856" w:hanging="227"/>
      </w:pPr>
      <w:rPr>
        <w:rFonts w:hint="eastAsia"/>
      </w:rPr>
    </w:lvl>
  </w:abstractNum>
  <w:abstractNum w:abstractNumId="33">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34">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35">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36">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37">
    <w:multiLevelType w:val="multilevel"/>
    <w:lvl w:ilvl="0" w:tentative="false">
      <w:start w:val="1"/>
      <w:numFmt w:val="decimal"/>
      <w:lvlText w:val="%1　"/>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38">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39">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40">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41">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42">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43">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44">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abstractNum w:abstractNumId="45">
    <w:multiLevelType w:val="multilevel"/>
    <w:lvl w:ilvl="0" w:tentative="false">
      <w:start w:val="1"/>
      <w:numFmt w:val="lowerLetter"/>
      <w:lvlText w:val="%1)"/>
      <w:lvlJc w:val="left"/>
      <w:pPr>
        <w:ind w:left="420" w:hanging="420"/>
      </w:pPr>
      <w:rPr>
        <w:rFonts w:hint="default" w:ascii="Cambria" w:hAnsi="Cambria" w:eastAsia="Cambria"/>
      </w:rPr>
    </w:lvl>
    <w:lvl w:ilvl="1" w:tentative="false">
      <w:start w:val="1"/>
      <w:numFmt w:val="lowerLetter"/>
      <w:lvlText w:val="%1."/>
      <w:lvlJc w:val="left"/>
      <w:pPr>
        <w:ind w:left="420" w:hanging="420"/>
      </w:pPr>
      <w:rPr>
        <w:rFonts w:hint="default" w:ascii="Cambria" w:hAnsi="Cambria" w:eastAsia="Cambria"/>
      </w:rPr>
    </w:lvl>
    <w:lvl w:ilvl="2" w:tentative="false">
      <w:start w:val="1"/>
      <w:numFmt w:val="lowerRoman"/>
      <w:lvlText w:val="%1."/>
      <w:lvlJc w:val="left"/>
      <w:pPr>
        <w:ind w:left="420" w:hanging="420"/>
      </w:pPr>
      <w:rPr>
        <w:rFonts w:hint="default" w:ascii="Cambria" w:hAnsi="Cambria" w:eastAsia="Cambria"/>
      </w:rPr>
    </w:lvl>
    <w:lvl w:ilvl="3" w:tentative="false">
      <w:start w:val="1"/>
      <w:numFmt w:val="decimal"/>
      <w:lvlText w:val="%1."/>
      <w:lvlJc w:val="left"/>
      <w:pPr>
        <w:ind w:left="420" w:hanging="420"/>
      </w:pPr>
      <w:rPr>
        <w:rFonts w:hint="default" w:ascii="Cambria" w:hAnsi="Cambria" w:eastAsia="Cambria"/>
      </w:rPr>
    </w:lvl>
    <w:lvl w:ilvl="4" w:tentative="false">
      <w:start w:val="1"/>
      <w:numFmt w:val="lowerLetter"/>
      <w:lvlText w:val="%1."/>
      <w:lvlJc w:val="left"/>
      <w:pPr>
        <w:ind w:left="420" w:hanging="420"/>
      </w:pPr>
      <w:rPr>
        <w:rFonts w:hint="default" w:ascii="Cambria" w:hAnsi="Cambria" w:eastAsia="Cambria"/>
      </w:rPr>
    </w:lvl>
    <w:lvl w:ilvl="5" w:tentative="false">
      <w:start w:val="1"/>
      <w:numFmt w:val="lowerRoman"/>
      <w:lvlText w:val="%1."/>
      <w:lvlJc w:val="left"/>
      <w:pPr>
        <w:ind w:left="420" w:hanging="420"/>
      </w:pPr>
      <w:rPr>
        <w:rFonts w:hint="default" w:ascii="Cambria" w:hAnsi="Cambria" w:eastAsia="Cambria"/>
      </w:rPr>
    </w:lvl>
    <w:lvl w:ilvl="6" w:tentative="false">
      <w:start w:val="1"/>
      <w:numFmt w:val="decimal"/>
      <w:lvlText w:val="%1."/>
      <w:lvlJc w:val="left"/>
      <w:pPr>
        <w:ind w:left="420" w:hanging="420"/>
      </w:pPr>
      <w:rPr>
        <w:rFonts w:hint="default" w:ascii="Cambria" w:hAnsi="Cambria" w:eastAsia="Cambria"/>
      </w:rPr>
    </w:lvl>
    <w:lvl w:ilvl="7" w:tentative="false">
      <w:start w:val="1"/>
      <w:numFmt w:val="lowerLetter"/>
      <w:lvlText w:val="%1."/>
      <w:lvlJc w:val="left"/>
      <w:pPr>
        <w:ind w:left="420" w:hanging="420"/>
      </w:pPr>
      <w:rPr>
        <w:rFonts w:hint="default" w:ascii="Cambria" w:hAnsi="Cambria" w:eastAsia="Cambria"/>
      </w:rPr>
    </w:lvl>
    <w:lvl w:ilvl="8" w:tentative="false">
      <w:start w:val="1"/>
      <w:numFmt w:val="lowerRoman"/>
      <w:lvlText w:val="%1."/>
      <w:lvlJc w:val="left"/>
      <w:pPr>
        <w:ind w:left="420" w:hanging="420"/>
      </w:pPr>
      <w:rPr>
        <w:rFonts w:hint="default" w:ascii="Cambria" w:hAnsi="Cambria" w:eastAsia="Cambria"/>
      </w:rPr>
    </w:lvl>
  </w:abstractNum>
  <w:num w:numId="1">
    <w:abstractNumId w:val="30"/>
  </w:num>
  <w:num w:numId="2">
    <w:abstractNumId w:val="5"/>
  </w:num>
  <w:num w:numId="3">
    <w:abstractNumId w:val="3"/>
  </w:num>
  <w:num w:numId="4">
    <w:abstractNumId w:val="4"/>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1"/>
  </w:num>
  <w:num w:numId="30">
    <w:abstractNumId w:val="2"/>
  </w:num>
  <w:num w:numId="31">
    <w:abstractNumId w:val="0"/>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bering>
</file>

<file path=word/settings.xml><?xml version="1.0" encoding="utf-8"?>
<w:setting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mc:Ignorable=" w15">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C1A"/>
    <w:rsid w:val="000C51B7"/>
    <w:rsid w:val="00216EB9"/>
    <w:rsid w:val="0059531B"/>
    <w:rsid w:val="00616505"/>
    <w:rsid w:val="0062213C"/>
    <w:rsid w:val="00633F40"/>
    <w:rsid w:val="006549AD"/>
    <w:rsid w:val="00684D9C"/>
    <w:rsid w:val="00A60633"/>
    <w:rsid w:val="00BA0C1A"/>
    <w:rsid w:val="00C061CB"/>
    <w:rsid w:val="00C604EC"/>
    <w:rsid w:val="00E26251"/>
    <w:rsid w:val="00EA1EE8"/>
    <w:rsid w:val="00F53662"/>
    <w:rsid w:val="083D07F0"/>
    <w:rsid w:val="105E3B74"/>
    <w:rsid w:val="1C2C4424"/>
    <w:rsid w:val="1CD54CE6"/>
    <w:rsid w:val="1DEC38DC"/>
    <w:rsid w:val="30456175"/>
    <w:rsid w:val="36772279"/>
    <w:rsid w:val="434067C1"/>
    <w:rsid w:val="568D20C3"/>
    <w:rsid w:val="6EAF13B0"/>
    <w:rsid w:val="71061E72"/>
    <w:rsid w:val="7A3B2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spidmax="1026" v:ext="edit">
      <o:colormru colors="white" v:ext="edit"/>
    </o:shapedefaults>
    <o:shapelayout v:ext="edit">
      <o:idmap data="1" v:ext="edit"/>
    </o:shapelayout>
  </w:shapeDefaults>
  <w:decimalSymbol w:val="."/>
  <w:listSeparator w:val=","/>
  <w15:docId w15:val="{20DE070A-6068-41E9-B520-D45B669F5A4D}"/>
</w:setting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w:docDefaults>
    <w:rPrDefault>
      <w:rPr>
        <w:rFonts w:asciiTheme="minorHAnsi" w:hAnsiTheme="minorHAnsi" w:eastAsiaTheme="minorEastAsia" w:cstheme="minorBidi"/>
        <w:lang w:val="en-US" w:eastAsia="zh-CN"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unhideWhenUsed="true" w:qFormat="true"/>
    <w:lsdException w:name="footer" w:unhideWhenUsed="true" w:qFormat="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unhideWhenUsed="true" w:qFormat="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qFormat="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semiHidden="true" w:unhideWhenUsed="true" w:qFormat="true"/>
    <w:lsdException w:name="Table Theme" w:semiHidden="true" w:unhideWhenUsed="true"/>
    <w:lsdException w:name="Placeholder Text" w:semiHidden="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 w:default="true">
    <w:name w:val="Normal"/>
    <w:qFormat/>
    <w:pPr>
      <w:widowControl w:val="false"/>
      <w:jc w:val="both"/>
    </w:pPr>
    <w:rPr>
      <w:kern w:val="2"/>
      <w:sz w:val="21"/>
      <w:szCs w:val="22"/>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a3">
    <w:name w:val="footer"/>
    <w:basedOn w:val="a"/>
    <w:link w:val="a4"/>
    <w:uiPriority w:val="99"/>
    <w:unhideWhenUsed/>
    <w:qFormat/>
    <w:pPr>
      <w:tabs>
        <w:tab w:val="center" w:pos="4153"/>
        <w:tab w:val="right" w:pos="8306"/>
      </w:tabs>
      <w:snapToGrid w:val="false"/>
      <w:jc w:val="left"/>
    </w:pPr>
    <w:rPr>
      <w:sz w:val="18"/>
      <w:szCs w:val="18"/>
    </w:rPr>
  </w:style>
  <w:style w:type="paragraph" w:styleId="a5">
    <w:name w:val="header"/>
    <w:basedOn w:val="a"/>
    <w:link w:val="a6"/>
    <w:uiPriority w:val="99"/>
    <w:unhideWhenUsed/>
    <w:qFormat/>
    <w:pPr>
      <w:pBdr>
        <w:bottom w:val="single" w:color="auto" w:sz="6" w:space="1"/>
      </w:pBdr>
      <w:tabs>
        <w:tab w:val="center" w:pos="4153"/>
        <w:tab w:val="right" w:pos="8306"/>
      </w:tabs>
      <w:snapToGrid w:val="false"/>
      <w:jc w:val="center"/>
    </w:pPr>
    <w:rPr>
      <w:sz w:val="18"/>
      <w:szCs w:val="18"/>
    </w:rPr>
  </w:style>
  <w:style w:type="table" w:styleId="a7">
    <w:name w:val="Table Grid"/>
    <w:basedOn w:val="a1"/>
    <w:uiPriority w:val="59"/>
    <w:qFormat/>
    <w:pPr>
      <w:widowControl w:val="false"/>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6" w:customStyle="true">
    <w:name w:val="页眉 字符"/>
    <w:basedOn w:val="a0"/>
    <w:link w:val="a5"/>
    <w:uiPriority w:val="99"/>
    <w:semiHidden/>
    <w:qFormat/>
    <w:rPr>
      <w:sz w:val="18"/>
      <w:szCs w:val="18"/>
    </w:rPr>
  </w:style>
  <w:style w:type="character" w:styleId="a4" w:customStyle="true">
    <w:name w:val="页脚 字符"/>
    <w:basedOn w:val="a0"/>
    <w:link w:val="a3"/>
    <w:uiPriority w:val="99"/>
    <w:semiHidden/>
    <w:qFormat/>
    <w:rPr>
      <w:sz w:val="18"/>
      <w:szCs w:val="18"/>
    </w:rPr>
  </w:style>
  <w:style w:type="paragraph" w:styleId="a8">
    <w:name w:val="List Paragraph"/>
    <w:basedOn w:val="a"/>
    <w:uiPriority w:val="34"/>
    <w:qFormat/>
    <w:pPr>
      <w:ind w:firstLine="420" w:firstLineChars="200"/>
    </w:pPr>
  </w:style>
  <w:style w:type="paragraph" w:styleId="heading1">
    <w:name w:val="heading 1"/>
    <w:basedOn w:val="a"/>
    <w:next w:val="a"/>
    <w:uiPriority w:val="9"/>
    <w:qFormat/>
    <w:rsid w:val="001C768A"/>
    <w:pPr>
      <w:keepNext/>
      <w:keepLines/>
      <w:spacing w:before="340" w:after="330" w:line="578" w:lineRule="auto"/>
      <w:outlineLvl w:val="0"/>
    </w:pPr>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Relationships xmlns="http://schemas.openxmlformats.org/package/2006/relationships"><Relationship Target="theme/theme1.xml" Type="http://schemas.openxmlformats.org/officeDocument/2006/relationships/theme" Id="rId8"/><Relationship Target="numbering.xml" Type="http://schemas.openxmlformats.org/officeDocument/2006/relationships/numbering" Id="rId3"/><Relationship Target="fontTable.xml" Type="http://schemas.openxmlformats.org/officeDocument/2006/relationships/fontTable" Id="rId7"/><Relationship Target="../customXml/item2.xml" Type="http://schemas.openxmlformats.org/officeDocument/2006/relationships/customXml" Id="rId2"/><Relationship Target="../customXml/item1.xml" Type="http://schemas.openxmlformats.org/officeDocument/2006/relationships/customXml" Id="rId1"/><Relationship Target="webSettings.xml" Type="http://schemas.openxmlformats.org/officeDocument/2006/relationships/webSettings" Id="rId6"/><Relationship Target="settings.xml" Type="http://schemas.openxmlformats.org/officeDocument/2006/relationships/settings" Id="rId5"/><Relationship Target="styles.xml" Type="http://schemas.openxmlformats.org/officeDocument/2006/relationships/styles" Id="rId4"/><Relationship Target="media/document_image_rId9.png" Type="http://schemas.openxmlformats.org/officeDocument/2006/relationships/image" Id="rId9"/><Relationship Target="media/document_image_rId10.png" Type="http://schemas.openxmlformats.org/officeDocument/2006/relationships/image" Id="rId10"/><Relationship TargetMode="External" Target="_blank" Type="http://schemas.openxmlformats.org/officeDocument/2006/relationships/hyperlink" Id="rId11"/><Relationship TargetMode="External" Target="_blank" Type="http://schemas.openxmlformats.org/officeDocument/2006/relationships/hyperlink" Id="rId12"/><Relationship TargetMode="External" Target="_Toc462133801" Type="http://schemas.openxmlformats.org/officeDocument/2006/relationships/hyperlink" Id="rId13"/><Relationship TargetMode="External" Target="_Toc462133801" Type="http://schemas.openxmlformats.org/officeDocument/2006/relationships/hyperlink" Id="rId14"/><Relationship TargetMode="External" Target="_Toc462133801" Type="http://schemas.openxmlformats.org/officeDocument/2006/relationships/hyperlink" Id="rId15"/><Relationship TargetMode="External" Target="_Toc462133801" Type="http://schemas.openxmlformats.org/officeDocument/2006/relationships/hyperlink" Id="rId16"/><Relationship TargetMode="External" Target="_Toc462133801" Type="http://schemas.openxmlformats.org/officeDocument/2006/relationships/hyperlink" Id="rId17"/><Relationship TargetMode="External" Target="_Toc462133801" Type="http://schemas.openxmlformats.org/officeDocument/2006/relationships/hyperlink" Id="rId18"/><Relationship TargetMode="External" Target="1&quot;" Type="http://schemas.openxmlformats.org/officeDocument/2006/relationships/hyperlink" Id="rId19"/><Relationship TargetMode="External" Target="1&quot;" Type="http://schemas.openxmlformats.org/officeDocument/2006/relationships/hyperlink" Id="rId20"/><Relationship TargetMode="External" Target="1&quot;" Type="http://schemas.openxmlformats.org/officeDocument/2006/relationships/hyperlink" Id="rId21"/><Relationship TargetMode="External" Target="1&quot;" Type="http://schemas.openxmlformats.org/officeDocument/2006/relationships/hyperlink" Id="rId22"/><Relationship TargetMode="External" Target="1&quot;" Type="http://schemas.openxmlformats.org/officeDocument/2006/relationships/hyperlink" Id="rId23"/><Relationship TargetMode="External" Target="1&quot;" Type="http://schemas.openxmlformats.org/officeDocument/2006/relationships/hyperlink" Id="rId24"/><Relationship TargetMode="External" Target="_Toc462133818" Type="http://schemas.openxmlformats.org/officeDocument/2006/relationships/hyperlink" Id="rId25"/><Relationship TargetMode="External" Target="_Toc462133818" Type="http://schemas.openxmlformats.org/officeDocument/2006/relationships/hyperlink" Id="rId26"/><Relationship TargetMode="External" Target="_Toc462133818" Type="http://schemas.openxmlformats.org/officeDocument/2006/relationships/hyperlink" Id="rId27"/><Relationship TargetMode="External" Target="_Toc462133818" Type="http://schemas.openxmlformats.org/officeDocument/2006/relationships/hyperlink" Id="rId28"/><Relationship TargetMode="External" Target="_Toc462133818" Type="http://schemas.openxmlformats.org/officeDocument/2006/relationships/hyperlink" Id="rId29"/><Relationship TargetMode="External" Target="_Toc462133818" Type="http://schemas.openxmlformats.org/officeDocument/2006/relationships/hyperlink" Id="rId30"/><Relationship TargetMode="External" Target="\l&quot;_Toc462133831&quot;" Type="http://schemas.openxmlformats.org/officeDocument/2006/relationships/hyperlink" Id="rId31"/><Relationship TargetMode="External" Target="\l&quot;_Toc462133831&quot;" Type="http://schemas.openxmlformats.org/officeDocument/2006/relationships/hyperlink" Id="rId32"/><Relationship TargetMode="External" Target="\l&quot;_Toc462133831&quot;" Type="http://schemas.openxmlformats.org/officeDocument/2006/relationships/hyperlink" Id="rId33"/><Relationship TargetMode="External" Target="\l&quot;_Toc462133831&quot;" Type="http://schemas.openxmlformats.org/officeDocument/2006/relationships/hyperlink" Id="rId34"/><Relationship TargetMode="External" Target="\l&quot;_Toc462133831&quot;" Type="http://schemas.openxmlformats.org/officeDocument/2006/relationships/hyperlink" Id="rId35"/><Relationship TargetMode="External" Target="\l&quot;_Toc462133831&quot;" Type="http://schemas.openxmlformats.org/officeDocument/2006/relationships/hyperlink" Id="rId36"/><Relationship Target="media/document_image_rId37.png" Type="http://schemas.openxmlformats.org/officeDocument/2006/relationships/image" Id="rId37"/><Relationship Target="media/document_image_rId38.png" Type="http://schemas.openxmlformats.org/officeDocument/2006/relationships/image" Id="rId38"/><Relationship Target="media/document_image_rId39.png" Type="http://schemas.openxmlformats.org/officeDocument/2006/relationships/image" Id="rId39"/><Relationship Target="media/document_image_rId40.png" Type="http://schemas.openxmlformats.org/officeDocument/2006/relationships/image" Id="rId40"/><Relationship Target="media/document_image_rId41.png" Type="http://schemas.openxmlformats.org/officeDocument/2006/relationships/image" Id="rId41"/><Relationship Target="media/document_image_rId42.png" Type="http://schemas.openxmlformats.org/officeDocument/2006/relationships/image" Id="rId42"/><Relationship Target="media/document_image_rId43.png" Type="http://schemas.openxmlformats.org/officeDocument/2006/relationships/image" Id="rId43"/><Relationship Target="media/document_image_rId44.png" Type="http://schemas.openxmlformats.org/officeDocument/2006/relationships/image" Id="rId44"/><Relationship Target="media/document_image_rId45.png" Type="http://schemas.openxmlformats.org/officeDocument/2006/relationships/image" Id="rId45"/><Relationship Target="media/document_image_rId46.png" Type="http://schemas.openxmlformats.org/officeDocument/2006/relationships/image" Id="rId46"/><Relationship Target="media/document_image_rId47.png" Type="http://schemas.openxmlformats.org/officeDocument/2006/relationships/image" Id="rId47"/><Relationship Target="media/document_image_rId48.png" Type="http://schemas.openxmlformats.org/officeDocument/2006/relationships/image" Id="rId48"/><Relationship Target="media/document_image_rId49.png" Type="http://schemas.openxmlformats.org/officeDocument/2006/relationships/image" Id="rId49"/><Relationship Target="media/document_image_rId50.png" Type="http://schemas.openxmlformats.org/officeDocument/2006/relationships/image" Id="rId50"/><Relationship Target="media/document_image_rId51.png" Type="http://schemas.openxmlformats.org/officeDocument/2006/relationships/image" Id="rId51"/><Relationship Target="header.xml" Type="http://schemas.openxmlformats.org/officeDocument/2006/relationships/header" Id="rId52"/><Relationship Target="footer.xml" Type="http://schemas.openxmlformats.org/officeDocument/2006/relationships/footer" Id="rId53"/></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Target="itemProps1.xml" Type="http://schemas.openxmlformats.org/officeDocument/2006/relationships/customXmlProps" Id="rId1"/></Relationships>
</file>

<file path=customXml/_rels/item2.xml.rels><?xml version="1.0" encoding="UTF-8" standalone="yes"?><Relationships xmlns="http://schemas.openxmlformats.org/package/2006/relationships"><Relationship Target="itemProps2.xml" Type="http://schemas.openxmlformats.org/officeDocument/2006/relationships/customXmlProps" Id="rId1"/></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ns10="http://schemas.openxmlformats.org/schemaLibrary/2006/main" xmlns:wne="http://schemas.microsoft.com/office/word/2006/wordml" xmlns:c="http://schemas.openxmlformats.org/drawingml/2006/chart" xmlns:ns13="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20="urn:schemas-microsoft-com:office:excel" xmlns:w10="urn:schemas-microsoft-com:office:word" xmlns:ns22="urn:schemas-microsoft-com:office:powerpoint" xmlns:ns24="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etp="http://schemas.microsoft.com/office/webextensions/taskpanes/2010/11" xmlns:we="http://schemas.microsoft.com/office/webextensions/webextension/2010/11" xmlns:ns34="http://schemas.openxmlformats.org/drawingml/2006/compatibility" xmlns:ns35="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9BC990-40FD-42B6-B8DA-69B41A76D25A}">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Microsoft</properties:Company>
  <properties:Pages>1</properties:Pages>
  <properties:Words>18</properties:Words>
  <properties:Characters>106</properties:Characters>
  <properties:Lines>1</properties:Lines>
  <properties:Paragraphs>1</properties:Paragraphs>
  <properties:TotalTime>1</properties:TotalTime>
  <properties:ScaleCrop>false</properties:ScaleCrop>
  <properties:LinksUpToDate>false</properties:LinksUpToDate>
  <properties:CharactersWithSpaces>123</properties:CharactersWithSpaces>
  <properties:SharedDoc>false</properties:SharedDoc>
  <properties:HyperlinksChanged>false</properties:HyperlinksChanged>
  <properties:Application>Tencent</properties:Application>
  <properties:AppVersion>3.3</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2017-01-10T09:10:00Z</dcterms:created>
  <dc:creator>Tencent</dc:creator>
  <cp:lastModifiedBy>Tencent</cp:lastModifiedBy>
  <dcterms:modified xmlns:xsi="http://www.w3.org/2001/XMLSchema-instance" xsi:type="dcterms:W3CDTF">2018-12-10T07:40:00Z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